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B6" w:rsidRPr="007C76B6" w:rsidRDefault="007C76B6" w:rsidP="007C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C76B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Index of </w:t>
      </w:r>
      <w:proofErr w:type="spellStart"/>
      <w:r w:rsidRPr="007C76B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posters</w:t>
      </w:r>
      <w:proofErr w:type="spellEnd"/>
    </w:p>
    <w:p w:rsidR="007C76B6" w:rsidRPr="007C76B6" w:rsidRDefault="007C76B6" w:rsidP="007C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9078" w:type="dxa"/>
        <w:tblLook w:val="04A0" w:firstRow="1" w:lastRow="0" w:firstColumn="1" w:lastColumn="0" w:noHBand="0" w:noVBand="1"/>
      </w:tblPr>
      <w:tblGrid>
        <w:gridCol w:w="1242"/>
        <w:gridCol w:w="2127"/>
        <w:gridCol w:w="3564"/>
        <w:gridCol w:w="2145"/>
      </w:tblGrid>
      <w:tr w:rsidR="007C76B6" w:rsidRPr="007C76B6" w:rsidTr="00F7637C">
        <w:trPr>
          <w:cantSplit/>
          <w:trHeight w:val="36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76B6">
              <w:rPr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76B6">
              <w:rPr>
                <w:b/>
                <w:bCs/>
                <w:sz w:val="24"/>
                <w:szCs w:val="24"/>
              </w:rPr>
              <w:t>Authors</w:t>
            </w:r>
            <w:proofErr w:type="spellEnd"/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Algorithms</w:t>
            </w:r>
            <w:proofErr w:type="spellEnd"/>
            <w:r w:rsidRPr="007C76B6">
              <w:rPr>
                <w:sz w:val="24"/>
                <w:szCs w:val="24"/>
              </w:rPr>
              <w:t xml:space="preserve"> for </w:t>
            </w:r>
            <w:proofErr w:type="spellStart"/>
            <w:r w:rsidRPr="007C76B6">
              <w:rPr>
                <w:sz w:val="24"/>
                <w:szCs w:val="24"/>
              </w:rPr>
              <w:t>Bioinformatics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A GPU-based High Performance Computing Infrastructure for specialized NGS analyses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>Manconi A, Moscatelli M, Gnocchi M, Armano G, Milanesi L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P2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Algorithms</w:t>
            </w:r>
            <w:proofErr w:type="spellEnd"/>
            <w:r w:rsidRPr="007C76B6">
              <w:rPr>
                <w:sz w:val="24"/>
                <w:szCs w:val="24"/>
              </w:rPr>
              <w:t xml:space="preserve"> for </w:t>
            </w:r>
            <w:proofErr w:type="spellStart"/>
            <w:r w:rsidRPr="007C76B6">
              <w:rPr>
                <w:sz w:val="24"/>
                <w:szCs w:val="24"/>
              </w:rPr>
              <w:t>Bioinformatics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Algebra of biodiversity: revising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PhyloH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as tool to represent change in communities with</w:t>
            </w:r>
            <w:r w:rsidRPr="007C76B6">
              <w:rPr>
                <w:sz w:val="24"/>
                <w:szCs w:val="24"/>
                <w:lang w:val="en-US"/>
              </w:rPr>
              <w:br/>
              <w:t>a special focus on HTC data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Vicario S, Mosca N, Renò V, Bruno A, </w:t>
            </w:r>
            <w:proofErr w:type="spellStart"/>
            <w:r w:rsidRPr="007C76B6">
              <w:rPr>
                <w:sz w:val="24"/>
                <w:szCs w:val="24"/>
              </w:rPr>
              <w:t>Sandionigi</w:t>
            </w:r>
            <w:proofErr w:type="spellEnd"/>
            <w:r w:rsidRPr="007C76B6">
              <w:rPr>
                <w:sz w:val="24"/>
                <w:szCs w:val="24"/>
              </w:rPr>
              <w:t xml:space="preserve"> A, Casiraghi M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Algorithms</w:t>
            </w:r>
            <w:proofErr w:type="spellEnd"/>
            <w:r w:rsidRPr="007C76B6">
              <w:rPr>
                <w:sz w:val="24"/>
                <w:szCs w:val="24"/>
              </w:rPr>
              <w:t xml:space="preserve"> for </w:t>
            </w:r>
            <w:proofErr w:type="spellStart"/>
            <w:r w:rsidRPr="007C76B6">
              <w:rPr>
                <w:sz w:val="24"/>
                <w:szCs w:val="24"/>
              </w:rPr>
              <w:t>Bioinformatics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Biclustering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of gene expression data with GRASP approximate algorithm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Ferone</w:t>
            </w:r>
            <w:proofErr w:type="spellEnd"/>
            <w:r w:rsidRPr="007C76B6">
              <w:rPr>
                <w:sz w:val="24"/>
                <w:szCs w:val="24"/>
              </w:rPr>
              <w:t xml:space="preserve"> D, </w:t>
            </w:r>
            <w:proofErr w:type="spellStart"/>
            <w:r w:rsidRPr="007C76B6">
              <w:rPr>
                <w:sz w:val="24"/>
                <w:szCs w:val="24"/>
              </w:rPr>
              <w:t>Facchiano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Marabotti</w:t>
            </w:r>
            <w:proofErr w:type="spellEnd"/>
            <w:r w:rsidRPr="007C76B6">
              <w:rPr>
                <w:sz w:val="24"/>
                <w:szCs w:val="24"/>
              </w:rPr>
              <w:t xml:space="preserve"> A, Festa P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P4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Algorithms</w:t>
            </w:r>
            <w:proofErr w:type="spellEnd"/>
            <w:r w:rsidRPr="007C76B6">
              <w:rPr>
                <w:sz w:val="24"/>
                <w:szCs w:val="24"/>
              </w:rPr>
              <w:t xml:space="preserve"> for </w:t>
            </w:r>
            <w:proofErr w:type="spellStart"/>
            <w:r w:rsidRPr="007C76B6">
              <w:rPr>
                <w:sz w:val="24"/>
                <w:szCs w:val="24"/>
              </w:rPr>
              <w:t>Bioinformatics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Integrating high-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troughput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data and structure prediction to identify RNA structure motifs 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Pietrosanto</w:t>
            </w:r>
            <w:proofErr w:type="spellEnd"/>
            <w:r w:rsidRPr="007C76B6">
              <w:rPr>
                <w:sz w:val="24"/>
                <w:szCs w:val="24"/>
              </w:rPr>
              <w:t xml:space="preserve"> M, </w:t>
            </w:r>
            <w:proofErr w:type="spellStart"/>
            <w:r w:rsidRPr="007C76B6">
              <w:rPr>
                <w:sz w:val="24"/>
                <w:szCs w:val="24"/>
              </w:rPr>
              <w:t>Adinolfi</w:t>
            </w:r>
            <w:proofErr w:type="spellEnd"/>
            <w:r w:rsidRPr="007C76B6">
              <w:rPr>
                <w:sz w:val="24"/>
                <w:szCs w:val="24"/>
              </w:rPr>
              <w:t xml:space="preserve"> M, Mattei E, Casula R, Ausiello G, </w:t>
            </w:r>
            <w:proofErr w:type="spellStart"/>
            <w:r w:rsidRPr="007C76B6">
              <w:rPr>
                <w:sz w:val="24"/>
                <w:szCs w:val="24"/>
              </w:rPr>
              <w:t>Palmeri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Ferrè</w:t>
            </w:r>
            <w:proofErr w:type="spellEnd"/>
            <w:r w:rsidRPr="007C76B6">
              <w:rPr>
                <w:sz w:val="24"/>
                <w:szCs w:val="24"/>
              </w:rPr>
              <w:t xml:space="preserve"> F, </w:t>
            </w:r>
            <w:proofErr w:type="spellStart"/>
            <w:r w:rsidRPr="007C76B6">
              <w:rPr>
                <w:sz w:val="24"/>
                <w:szCs w:val="24"/>
              </w:rPr>
              <w:t>Helmer-Citterich</w:t>
            </w:r>
            <w:proofErr w:type="spellEnd"/>
            <w:r w:rsidRPr="007C76B6">
              <w:rPr>
                <w:sz w:val="24"/>
                <w:szCs w:val="24"/>
              </w:rPr>
              <w:t xml:space="preserve"> M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P5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Algorithms</w:t>
            </w:r>
            <w:proofErr w:type="spellEnd"/>
            <w:r w:rsidRPr="007C76B6">
              <w:rPr>
                <w:sz w:val="24"/>
                <w:szCs w:val="24"/>
              </w:rPr>
              <w:t xml:space="preserve"> for </w:t>
            </w:r>
            <w:proofErr w:type="spellStart"/>
            <w:r w:rsidRPr="007C76B6">
              <w:rPr>
                <w:sz w:val="24"/>
                <w:szCs w:val="24"/>
              </w:rPr>
              <w:t>Bioinformatics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Deciphering regulatory modules in secretory pathways using perturbatio</w:t>
            </w:r>
            <w:r w:rsidR="002C1A67">
              <w:rPr>
                <w:sz w:val="24"/>
                <w:szCs w:val="24"/>
                <w:lang w:val="en-US"/>
              </w:rPr>
              <w:t>n data: an integrated approach</w:t>
            </w:r>
            <w:bookmarkStart w:id="0" w:name="_GoBack"/>
            <w:bookmarkEnd w:id="0"/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Piccirillo M, </w:t>
            </w:r>
            <w:proofErr w:type="spellStart"/>
            <w:r w:rsidRPr="007C76B6">
              <w:rPr>
                <w:sz w:val="24"/>
                <w:szCs w:val="24"/>
              </w:rPr>
              <w:t>Tripathi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KP,Guarracino</w:t>
            </w:r>
            <w:proofErr w:type="spellEnd"/>
            <w:r w:rsidRPr="007C76B6">
              <w:rPr>
                <w:sz w:val="24"/>
                <w:szCs w:val="24"/>
              </w:rPr>
              <w:t xml:space="preserve"> MR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P6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Algorithms</w:t>
            </w:r>
            <w:proofErr w:type="spellEnd"/>
            <w:r w:rsidRPr="007C76B6">
              <w:rPr>
                <w:sz w:val="24"/>
                <w:szCs w:val="24"/>
              </w:rPr>
              <w:t xml:space="preserve"> for </w:t>
            </w:r>
            <w:proofErr w:type="spellStart"/>
            <w:r w:rsidRPr="007C76B6">
              <w:rPr>
                <w:sz w:val="24"/>
                <w:szCs w:val="24"/>
              </w:rPr>
              <w:t>Bioinformatics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A cellular automata to simulate the growth and death of a cell culture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Guerrisi</w:t>
            </w:r>
            <w:proofErr w:type="spellEnd"/>
            <w:r w:rsidRPr="007C76B6">
              <w:rPr>
                <w:sz w:val="24"/>
                <w:szCs w:val="24"/>
              </w:rPr>
              <w:t xml:space="preserve"> G, Giordano D, </w:t>
            </w:r>
            <w:proofErr w:type="spellStart"/>
            <w:r w:rsidRPr="007C76B6">
              <w:rPr>
                <w:sz w:val="24"/>
                <w:szCs w:val="24"/>
              </w:rPr>
              <w:t>Marabotti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Raiconi</w:t>
            </w:r>
            <w:proofErr w:type="spellEnd"/>
            <w:r w:rsidRPr="007C76B6">
              <w:rPr>
                <w:sz w:val="24"/>
                <w:szCs w:val="24"/>
              </w:rPr>
              <w:t xml:space="preserve"> G, </w:t>
            </w:r>
            <w:proofErr w:type="spellStart"/>
            <w:r w:rsidRPr="007C76B6">
              <w:rPr>
                <w:sz w:val="24"/>
                <w:szCs w:val="24"/>
              </w:rPr>
              <w:t>Tagliaferri</w:t>
            </w:r>
            <w:proofErr w:type="spellEnd"/>
            <w:r w:rsidRPr="007C76B6">
              <w:rPr>
                <w:sz w:val="24"/>
                <w:szCs w:val="24"/>
              </w:rPr>
              <w:t xml:space="preserve"> R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P7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Standardisation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in Life Sciences – with CHARME towards a unified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standardisation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European strategy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D’Elia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D,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Regierer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B, Hollmann S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P8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“DS-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omiX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”: a new tool for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mixOmics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approach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Petricone</w:t>
            </w:r>
            <w:proofErr w:type="spellEnd"/>
            <w:r w:rsidRPr="007C76B6">
              <w:rPr>
                <w:sz w:val="24"/>
                <w:szCs w:val="24"/>
              </w:rPr>
              <w:t xml:space="preserve"> D, Rinaldi S, </w:t>
            </w:r>
            <w:proofErr w:type="spellStart"/>
            <w:r w:rsidRPr="007C76B6">
              <w:rPr>
                <w:sz w:val="24"/>
                <w:szCs w:val="24"/>
              </w:rPr>
              <w:t>Cotugno</w:t>
            </w:r>
            <w:proofErr w:type="spellEnd"/>
            <w:r w:rsidRPr="007C76B6">
              <w:rPr>
                <w:sz w:val="24"/>
                <w:szCs w:val="24"/>
              </w:rPr>
              <w:t xml:space="preserve"> N, Di Matteo G, Rossi P, </w:t>
            </w:r>
            <w:proofErr w:type="spellStart"/>
            <w:r w:rsidRPr="007C76B6">
              <w:rPr>
                <w:sz w:val="24"/>
                <w:szCs w:val="24"/>
              </w:rPr>
              <w:t>Cancrini</w:t>
            </w:r>
            <w:proofErr w:type="spellEnd"/>
            <w:r w:rsidRPr="007C76B6">
              <w:rPr>
                <w:sz w:val="24"/>
                <w:szCs w:val="24"/>
              </w:rPr>
              <w:t xml:space="preserve"> C, Palma P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P9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BioPAxCOMP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: an efficient system for integrating, compressing, and querying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BioPAX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Agapito G, Greco A, </w:t>
            </w:r>
            <w:proofErr w:type="spellStart"/>
            <w:r w:rsidRPr="007C76B6">
              <w:rPr>
                <w:sz w:val="24"/>
                <w:szCs w:val="24"/>
              </w:rPr>
              <w:t>Cannataro</w:t>
            </w:r>
            <w:proofErr w:type="spellEnd"/>
            <w:r w:rsidRPr="007C76B6">
              <w:rPr>
                <w:sz w:val="24"/>
                <w:szCs w:val="24"/>
              </w:rPr>
              <w:t xml:space="preserve"> M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lastRenderedPageBreak/>
              <w:t>P10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Modeling biological systems considering the uncertainty associated with model parameters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Beccuti M, </w:t>
            </w:r>
            <w:proofErr w:type="spellStart"/>
            <w:r w:rsidRPr="007C76B6">
              <w:rPr>
                <w:sz w:val="24"/>
                <w:szCs w:val="24"/>
              </w:rPr>
              <w:t>Totis</w:t>
            </w:r>
            <w:proofErr w:type="spellEnd"/>
            <w:r w:rsidRPr="007C76B6">
              <w:rPr>
                <w:sz w:val="24"/>
                <w:szCs w:val="24"/>
              </w:rPr>
              <w:t xml:space="preserve"> N, Follia L, Calogero R, Cordero F, Balbo G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P11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Cloud Computing in Bioinformatics: current solutions and challenges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Calabrese B, </w:t>
            </w:r>
            <w:proofErr w:type="spellStart"/>
            <w:r w:rsidRPr="007C76B6">
              <w:rPr>
                <w:sz w:val="24"/>
                <w:szCs w:val="24"/>
              </w:rPr>
              <w:t>Cannataro</w:t>
            </w:r>
            <w:proofErr w:type="spellEnd"/>
            <w:r w:rsidRPr="007C76B6">
              <w:rPr>
                <w:sz w:val="24"/>
                <w:szCs w:val="24"/>
              </w:rPr>
              <w:t xml:space="preserve"> M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P12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Cloud computing: democratizing Next Generation Sequence (NGS) data analysis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Cordero F, Beccuti M, Calogero RA </w:t>
            </w:r>
          </w:p>
        </w:tc>
      </w:tr>
      <w:tr w:rsidR="007C76B6" w:rsidRPr="007C76B6" w:rsidTr="00F7637C">
        <w:trPr>
          <w:cantSplit/>
          <w:trHeight w:val="67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P13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Identification of single nucleotide variants in RNA tumor samples using ACCESS exome capturing protocol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Panero</w:t>
            </w:r>
            <w:proofErr w:type="spellEnd"/>
            <w:r w:rsidRPr="007C76B6">
              <w:rPr>
                <w:sz w:val="24"/>
                <w:szCs w:val="24"/>
              </w:rPr>
              <w:t xml:space="preserve"> R, </w:t>
            </w:r>
            <w:proofErr w:type="spellStart"/>
            <w:r w:rsidRPr="007C76B6">
              <w:rPr>
                <w:sz w:val="24"/>
                <w:szCs w:val="24"/>
              </w:rPr>
              <w:t>Arigoni</w:t>
            </w:r>
            <w:proofErr w:type="spellEnd"/>
            <w:r w:rsidRPr="007C76B6">
              <w:rPr>
                <w:sz w:val="24"/>
                <w:szCs w:val="24"/>
              </w:rPr>
              <w:t xml:space="preserve"> M, Riccardo F,  Olivero M, Cordero F, Beccuti M, </w:t>
            </w:r>
            <w:proofErr w:type="spellStart"/>
            <w:r w:rsidRPr="007C76B6">
              <w:rPr>
                <w:sz w:val="24"/>
                <w:szCs w:val="24"/>
              </w:rPr>
              <w:t>Voena</w:t>
            </w:r>
            <w:proofErr w:type="spellEnd"/>
            <w:r w:rsidRPr="007C76B6">
              <w:rPr>
                <w:sz w:val="24"/>
                <w:szCs w:val="24"/>
              </w:rPr>
              <w:t xml:space="preserve"> C, </w:t>
            </w:r>
            <w:proofErr w:type="spellStart"/>
            <w:r w:rsidRPr="007C76B6">
              <w:rPr>
                <w:sz w:val="24"/>
                <w:szCs w:val="24"/>
              </w:rPr>
              <w:t>Peola</w:t>
            </w:r>
            <w:proofErr w:type="spellEnd"/>
            <w:r w:rsidRPr="007C76B6">
              <w:rPr>
                <w:sz w:val="24"/>
                <w:szCs w:val="24"/>
              </w:rPr>
              <w:t xml:space="preserve"> S, </w:t>
            </w:r>
            <w:proofErr w:type="spellStart"/>
            <w:r w:rsidRPr="007C76B6">
              <w:rPr>
                <w:sz w:val="24"/>
                <w:szCs w:val="24"/>
              </w:rPr>
              <w:t>Weisz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Chiarle</w:t>
            </w:r>
            <w:proofErr w:type="spellEnd"/>
            <w:r w:rsidRPr="007C76B6">
              <w:rPr>
                <w:sz w:val="24"/>
                <w:szCs w:val="24"/>
              </w:rPr>
              <w:t xml:space="preserve"> R, Calogero RA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P14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GeMoNe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>: The Genomic Data Portal for Myeloid Neoplasms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Limongelli I, Riva A, Della Porta MG, Cazzola M, </w:t>
            </w:r>
            <w:proofErr w:type="spellStart"/>
            <w:r w:rsidRPr="007C76B6">
              <w:rPr>
                <w:sz w:val="24"/>
                <w:szCs w:val="24"/>
              </w:rPr>
              <w:t>Bellazzi</w:t>
            </w:r>
            <w:proofErr w:type="spellEnd"/>
            <w:r w:rsidRPr="007C76B6">
              <w:rPr>
                <w:sz w:val="24"/>
                <w:szCs w:val="24"/>
              </w:rPr>
              <w:t xml:space="preserve"> R</w:t>
            </w:r>
          </w:p>
        </w:tc>
      </w:tr>
      <w:tr w:rsidR="007C76B6" w:rsidRPr="007C76B6" w:rsidTr="00F7637C">
        <w:trPr>
          <w:cantSplit/>
          <w:trHeight w:val="67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P15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Cloud-based management and genome-wide processing of numerous and heterogeneous genomic feature datasets through GMQL (publicly available on CINECA cloud)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Kaitoua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Canakoglu</w:t>
            </w:r>
            <w:proofErr w:type="spellEnd"/>
            <w:r w:rsidRPr="007C76B6">
              <w:rPr>
                <w:sz w:val="24"/>
                <w:szCs w:val="24"/>
              </w:rPr>
              <w:t xml:space="preserve"> A, Pinoli P, Ceri S, </w:t>
            </w:r>
            <w:proofErr w:type="spellStart"/>
            <w:r w:rsidRPr="007C76B6">
              <w:rPr>
                <w:sz w:val="24"/>
                <w:szCs w:val="24"/>
              </w:rPr>
              <w:t>Masseroli</w:t>
            </w:r>
            <w:proofErr w:type="spellEnd"/>
            <w:r w:rsidRPr="007C76B6">
              <w:rPr>
                <w:sz w:val="24"/>
                <w:szCs w:val="24"/>
              </w:rPr>
              <w:t xml:space="preserve"> M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P16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GenomeCruzer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: a tool for integrative 3D-visualization and analysis of multidimensional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oncogenomic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Isella C, </w:t>
            </w:r>
            <w:proofErr w:type="spellStart"/>
            <w:r w:rsidRPr="007C76B6">
              <w:rPr>
                <w:sz w:val="24"/>
                <w:szCs w:val="24"/>
              </w:rPr>
              <w:t>Bertotti</w:t>
            </w:r>
            <w:proofErr w:type="spellEnd"/>
            <w:r w:rsidRPr="007C76B6">
              <w:rPr>
                <w:sz w:val="24"/>
                <w:szCs w:val="24"/>
              </w:rPr>
              <w:t xml:space="preserve"> C, Corsi R, </w:t>
            </w:r>
            <w:proofErr w:type="spellStart"/>
            <w:r w:rsidRPr="007C76B6">
              <w:rPr>
                <w:sz w:val="24"/>
                <w:szCs w:val="24"/>
              </w:rPr>
              <w:t>Vezzadini</w:t>
            </w:r>
            <w:proofErr w:type="spellEnd"/>
            <w:r w:rsidRPr="007C76B6">
              <w:rPr>
                <w:sz w:val="24"/>
                <w:szCs w:val="24"/>
              </w:rPr>
              <w:t xml:space="preserve"> L, Medico E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P17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Using Ontologies and Semantic Similarity Measures for Prioritization of Gene Regulatory Networks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Milano M, </w:t>
            </w:r>
            <w:proofErr w:type="spellStart"/>
            <w:r w:rsidRPr="007C76B6">
              <w:rPr>
                <w:sz w:val="24"/>
                <w:szCs w:val="24"/>
              </w:rPr>
              <w:t>Guzzi</w:t>
            </w:r>
            <w:proofErr w:type="spellEnd"/>
            <w:r w:rsidRPr="007C76B6">
              <w:rPr>
                <w:sz w:val="24"/>
                <w:szCs w:val="24"/>
              </w:rPr>
              <w:t xml:space="preserve"> PH, </w:t>
            </w:r>
            <w:proofErr w:type="spellStart"/>
            <w:r w:rsidRPr="007C76B6">
              <w:rPr>
                <w:sz w:val="24"/>
                <w:szCs w:val="24"/>
              </w:rPr>
              <w:t>Cannataro</w:t>
            </w:r>
            <w:proofErr w:type="spellEnd"/>
            <w:r w:rsidRPr="007C76B6">
              <w:rPr>
                <w:sz w:val="24"/>
                <w:szCs w:val="24"/>
              </w:rPr>
              <w:t xml:space="preserve"> M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P18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RNA-based identification of actionable oncogenic drivers in colorectal cancer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Bellomo</w:t>
            </w:r>
            <w:proofErr w:type="spellEnd"/>
            <w:r w:rsidRPr="007C76B6">
              <w:rPr>
                <w:sz w:val="24"/>
                <w:szCs w:val="24"/>
              </w:rPr>
              <w:t xml:space="preserve"> SE, Acquaviva A, Petti C, Picco G, Isella C, Medico E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P19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A user friendly platform for hunting causative variants of genetic diseases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Bertoldi L, Forcato C, </w:t>
            </w:r>
            <w:proofErr w:type="spellStart"/>
            <w:r w:rsidRPr="007C76B6">
              <w:rPr>
                <w:sz w:val="24"/>
                <w:szCs w:val="24"/>
              </w:rPr>
              <w:t>Vitulo</w:t>
            </w:r>
            <w:proofErr w:type="spellEnd"/>
            <w:r w:rsidRPr="007C76B6">
              <w:rPr>
                <w:sz w:val="24"/>
                <w:szCs w:val="24"/>
              </w:rPr>
              <w:t xml:space="preserve"> N, </w:t>
            </w:r>
            <w:proofErr w:type="spellStart"/>
            <w:r w:rsidRPr="007C76B6">
              <w:rPr>
                <w:sz w:val="24"/>
                <w:szCs w:val="24"/>
              </w:rPr>
              <w:t>Birolo</w:t>
            </w:r>
            <w:proofErr w:type="spellEnd"/>
            <w:r w:rsidRPr="007C76B6">
              <w:rPr>
                <w:sz w:val="24"/>
                <w:szCs w:val="24"/>
              </w:rPr>
              <w:t xml:space="preserve"> G, Schiavon R, </w:t>
            </w:r>
            <w:proofErr w:type="spellStart"/>
            <w:r w:rsidRPr="007C76B6">
              <w:rPr>
                <w:sz w:val="24"/>
                <w:szCs w:val="24"/>
              </w:rPr>
              <w:t>Feltrin</w:t>
            </w:r>
            <w:proofErr w:type="spellEnd"/>
            <w:r w:rsidRPr="007C76B6">
              <w:rPr>
                <w:sz w:val="24"/>
                <w:szCs w:val="24"/>
              </w:rPr>
              <w:t xml:space="preserve"> E, De </w:t>
            </w:r>
            <w:proofErr w:type="spellStart"/>
            <w:r w:rsidRPr="007C76B6">
              <w:rPr>
                <w:sz w:val="24"/>
                <w:szCs w:val="24"/>
              </w:rPr>
              <w:t>Pascale</w:t>
            </w:r>
            <w:proofErr w:type="spellEnd"/>
            <w:r w:rsidRPr="007C76B6">
              <w:rPr>
                <w:sz w:val="24"/>
                <w:szCs w:val="24"/>
              </w:rPr>
              <w:t xml:space="preserve"> F, Zampieri G, Vezzi A, Valle G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lastRenderedPageBreak/>
              <w:t>P20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Database of human non-coding RNAs interactions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spacing w:after="240"/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Bonnici</w:t>
            </w:r>
            <w:proofErr w:type="spellEnd"/>
            <w:r w:rsidRPr="007C76B6">
              <w:rPr>
                <w:sz w:val="24"/>
                <w:szCs w:val="24"/>
              </w:rPr>
              <w:t xml:space="preserve"> V, De Caro G, </w:t>
            </w:r>
            <w:proofErr w:type="spellStart"/>
            <w:r w:rsidRPr="007C76B6">
              <w:rPr>
                <w:sz w:val="24"/>
                <w:szCs w:val="24"/>
              </w:rPr>
              <w:t>Liuni</w:t>
            </w:r>
            <w:proofErr w:type="spellEnd"/>
            <w:r w:rsidRPr="007C76B6">
              <w:rPr>
                <w:sz w:val="24"/>
                <w:szCs w:val="24"/>
              </w:rPr>
              <w:t xml:space="preserve"> S, D’Elia D, </w:t>
            </w:r>
            <w:proofErr w:type="spellStart"/>
            <w:r w:rsidRPr="007C76B6">
              <w:rPr>
                <w:sz w:val="24"/>
                <w:szCs w:val="24"/>
              </w:rPr>
              <w:t>Bombieri</w:t>
            </w:r>
            <w:proofErr w:type="spellEnd"/>
            <w:r w:rsidRPr="007C76B6">
              <w:rPr>
                <w:sz w:val="24"/>
                <w:szCs w:val="24"/>
              </w:rPr>
              <w:t xml:space="preserve"> N, Giugno R, </w:t>
            </w:r>
            <w:proofErr w:type="spellStart"/>
            <w:r w:rsidRPr="007C76B6">
              <w:rPr>
                <w:sz w:val="24"/>
                <w:szCs w:val="24"/>
              </w:rPr>
              <w:t>Licciulli</w:t>
            </w:r>
            <w:proofErr w:type="spellEnd"/>
            <w:r w:rsidRPr="007C76B6">
              <w:rPr>
                <w:sz w:val="24"/>
                <w:szCs w:val="24"/>
              </w:rPr>
              <w:t xml:space="preserve"> F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P21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for Disease Prevention and Precision Medicine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>Moscatelli M, Gnocchi M, Manconi M, Milanesi L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P22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Data integration in drug-target interaction prediction and drug repositioning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Parisi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D,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Vanderhoydonck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B,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Vriend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G, Moreau Y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C76B6">
              <w:rPr>
                <w:b/>
                <w:bCs/>
                <w:sz w:val="24"/>
                <w:szCs w:val="24"/>
                <w:lang w:val="en-US"/>
              </w:rPr>
              <w:t>P23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Providing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bioinformatic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workflow environments through the INDIGO-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DataCloud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e-infrastructure.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Tangaro</w:t>
            </w:r>
            <w:proofErr w:type="spellEnd"/>
            <w:r w:rsidRPr="007C76B6">
              <w:rPr>
                <w:sz w:val="24"/>
                <w:szCs w:val="24"/>
              </w:rPr>
              <w:t xml:space="preserve"> MA, Pesole G, Zambelli F</w:t>
            </w:r>
          </w:p>
        </w:tc>
      </w:tr>
      <w:tr w:rsidR="007C76B6" w:rsidRPr="007C76B6" w:rsidTr="00F7637C">
        <w:trPr>
          <w:cantSplit/>
          <w:trHeight w:val="67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P24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ELIXIR-ITA: a growing support to national and international research in life sciences 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Via A, Zambelli F, Carnevali D, </w:t>
            </w:r>
            <w:proofErr w:type="spellStart"/>
            <w:r w:rsidRPr="007C76B6">
              <w:rPr>
                <w:sz w:val="24"/>
                <w:szCs w:val="24"/>
              </w:rPr>
              <w:t>Castrignanò</w:t>
            </w:r>
            <w:proofErr w:type="spellEnd"/>
            <w:r w:rsidRPr="007C76B6">
              <w:rPr>
                <w:sz w:val="24"/>
                <w:szCs w:val="24"/>
              </w:rPr>
              <w:t xml:space="preserve"> T, Cattani A, </w:t>
            </w:r>
            <w:proofErr w:type="spellStart"/>
            <w:r w:rsidRPr="007C76B6">
              <w:rPr>
                <w:sz w:val="24"/>
                <w:szCs w:val="24"/>
              </w:rPr>
              <w:t>Cuccuru</w:t>
            </w:r>
            <w:proofErr w:type="spellEnd"/>
            <w:r w:rsidRPr="007C76B6">
              <w:rPr>
                <w:sz w:val="24"/>
                <w:szCs w:val="24"/>
              </w:rPr>
              <w:t xml:space="preserve"> G, Della Vedova G, </w:t>
            </w:r>
            <w:proofErr w:type="spellStart"/>
            <w:r w:rsidRPr="007C76B6">
              <w:rPr>
                <w:sz w:val="24"/>
                <w:szCs w:val="24"/>
              </w:rPr>
              <w:t>Donvito</w:t>
            </w:r>
            <w:proofErr w:type="spellEnd"/>
            <w:r w:rsidRPr="007C76B6">
              <w:rPr>
                <w:sz w:val="24"/>
                <w:szCs w:val="24"/>
              </w:rPr>
              <w:t xml:space="preserve"> G, </w:t>
            </w:r>
            <w:proofErr w:type="spellStart"/>
            <w:r w:rsidRPr="007C76B6">
              <w:rPr>
                <w:sz w:val="24"/>
                <w:szCs w:val="24"/>
              </w:rPr>
              <w:t>Facchiano</w:t>
            </w:r>
            <w:proofErr w:type="spellEnd"/>
            <w:r w:rsidRPr="007C76B6">
              <w:rPr>
                <w:sz w:val="24"/>
                <w:szCs w:val="24"/>
              </w:rPr>
              <w:t xml:space="preserve"> A, Marco Fondi, Galeazzi F, Licata L, </w:t>
            </w:r>
            <w:proofErr w:type="spellStart"/>
            <w:r w:rsidRPr="007C76B6">
              <w:rPr>
                <w:sz w:val="24"/>
                <w:szCs w:val="24"/>
              </w:rPr>
              <w:t>Marabotti</w:t>
            </w:r>
            <w:proofErr w:type="spellEnd"/>
            <w:r w:rsidRPr="007C76B6">
              <w:rPr>
                <w:sz w:val="24"/>
                <w:szCs w:val="24"/>
              </w:rPr>
              <w:t xml:space="preserve"> A, Milanesi L, </w:t>
            </w:r>
            <w:proofErr w:type="spellStart"/>
            <w:r w:rsidRPr="007C76B6">
              <w:rPr>
                <w:sz w:val="24"/>
                <w:szCs w:val="24"/>
              </w:rPr>
              <w:t>Picardi</w:t>
            </w:r>
            <w:proofErr w:type="spellEnd"/>
            <w:r w:rsidRPr="007C76B6">
              <w:rPr>
                <w:sz w:val="24"/>
                <w:szCs w:val="24"/>
              </w:rPr>
              <w:t xml:space="preserve"> E, </w:t>
            </w:r>
            <w:proofErr w:type="spellStart"/>
            <w:r w:rsidRPr="007C76B6">
              <w:rPr>
                <w:sz w:val="24"/>
                <w:szCs w:val="24"/>
              </w:rPr>
              <w:t>Profiti</w:t>
            </w:r>
            <w:proofErr w:type="spellEnd"/>
            <w:r w:rsidRPr="007C76B6">
              <w:rPr>
                <w:sz w:val="24"/>
                <w:szCs w:val="24"/>
              </w:rPr>
              <w:t xml:space="preserve"> G, Tomassini </w:t>
            </w:r>
            <w:proofErr w:type="spellStart"/>
            <w:r w:rsidRPr="007C76B6">
              <w:rPr>
                <w:sz w:val="24"/>
                <w:szCs w:val="24"/>
              </w:rPr>
              <w:t>S,Tosatto</w:t>
            </w:r>
            <w:proofErr w:type="spellEnd"/>
            <w:r w:rsidRPr="007C76B6">
              <w:rPr>
                <w:sz w:val="24"/>
                <w:szCs w:val="24"/>
              </w:rPr>
              <w:t xml:space="preserve"> S, Pesole G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P25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Big Data Management, Modeling and Computing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Efficient Integration of Heterogeneous Kernels for Disease Gene Prioritization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Zampieri G, Tran D, </w:t>
            </w:r>
            <w:proofErr w:type="spellStart"/>
            <w:r w:rsidRPr="007C76B6">
              <w:rPr>
                <w:sz w:val="24"/>
                <w:szCs w:val="24"/>
              </w:rPr>
              <w:t>Donini</w:t>
            </w:r>
            <w:proofErr w:type="spellEnd"/>
            <w:r w:rsidRPr="007C76B6">
              <w:rPr>
                <w:sz w:val="24"/>
                <w:szCs w:val="24"/>
              </w:rPr>
              <w:t xml:space="preserve"> M, </w:t>
            </w:r>
            <w:proofErr w:type="spellStart"/>
            <w:r w:rsidRPr="007C76B6">
              <w:rPr>
                <w:sz w:val="24"/>
                <w:szCs w:val="24"/>
              </w:rPr>
              <w:t>Navarin</w:t>
            </w:r>
            <w:proofErr w:type="spellEnd"/>
            <w:r w:rsidRPr="007C76B6">
              <w:rPr>
                <w:sz w:val="24"/>
                <w:szCs w:val="24"/>
              </w:rPr>
              <w:t xml:space="preserve"> N, </w:t>
            </w:r>
            <w:proofErr w:type="spellStart"/>
            <w:r w:rsidRPr="007C76B6">
              <w:rPr>
                <w:sz w:val="24"/>
                <w:szCs w:val="24"/>
              </w:rPr>
              <w:t>Aiolli</w:t>
            </w:r>
            <w:proofErr w:type="spellEnd"/>
            <w:r w:rsidRPr="007C76B6">
              <w:rPr>
                <w:sz w:val="24"/>
                <w:szCs w:val="24"/>
              </w:rPr>
              <w:t xml:space="preserve"> F, Sperduti A, Valle G</w:t>
            </w:r>
          </w:p>
        </w:tc>
      </w:tr>
      <w:tr w:rsidR="007C76B6" w:rsidRPr="007C76B6" w:rsidTr="00F7637C">
        <w:trPr>
          <w:cantSplit/>
          <w:trHeight w:val="67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P26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Biological</w:t>
            </w:r>
            <w:proofErr w:type="spellEnd"/>
            <w:r w:rsidRPr="007C76B6">
              <w:rPr>
                <w:sz w:val="24"/>
                <w:szCs w:val="24"/>
              </w:rPr>
              <w:t xml:space="preserve"> Databases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BioSharing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Registry: mapping the landscape of standards and databases resources in the life sciences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McQuilton</w:t>
            </w:r>
            <w:proofErr w:type="spellEnd"/>
            <w:r w:rsidRPr="007C76B6">
              <w:rPr>
                <w:sz w:val="24"/>
                <w:szCs w:val="24"/>
              </w:rPr>
              <w:t xml:space="preserve"> P, </w:t>
            </w:r>
            <w:proofErr w:type="spellStart"/>
            <w:r w:rsidRPr="007C76B6">
              <w:rPr>
                <w:sz w:val="24"/>
                <w:szCs w:val="24"/>
              </w:rPr>
              <w:t>Gonzalez-Beltran</w:t>
            </w:r>
            <w:proofErr w:type="spellEnd"/>
            <w:r w:rsidRPr="007C76B6">
              <w:rPr>
                <w:sz w:val="24"/>
                <w:szCs w:val="24"/>
              </w:rPr>
              <w:t xml:space="preserve"> A, Izzo M, </w:t>
            </w:r>
            <w:proofErr w:type="spellStart"/>
            <w:r w:rsidRPr="007C76B6">
              <w:rPr>
                <w:sz w:val="24"/>
                <w:szCs w:val="24"/>
              </w:rPr>
              <w:t>Lister</w:t>
            </w:r>
            <w:proofErr w:type="spellEnd"/>
            <w:r w:rsidRPr="007C76B6">
              <w:rPr>
                <w:sz w:val="24"/>
                <w:szCs w:val="24"/>
              </w:rPr>
              <w:t xml:space="preserve"> AL, Maguire E, Rocca-Serra P, </w:t>
            </w:r>
            <w:proofErr w:type="spellStart"/>
            <w:r w:rsidRPr="007C76B6">
              <w:rPr>
                <w:sz w:val="24"/>
                <w:szCs w:val="24"/>
              </w:rPr>
              <w:t>Thurston</w:t>
            </w:r>
            <w:proofErr w:type="spellEnd"/>
            <w:r w:rsidRPr="007C76B6">
              <w:rPr>
                <w:sz w:val="24"/>
                <w:szCs w:val="24"/>
              </w:rPr>
              <w:t xml:space="preserve"> M, Sansone SA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lastRenderedPageBreak/>
              <w:t>P27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Biological</w:t>
            </w:r>
            <w:proofErr w:type="spellEnd"/>
            <w:r w:rsidRPr="007C76B6">
              <w:rPr>
                <w:sz w:val="24"/>
                <w:szCs w:val="24"/>
              </w:rPr>
              <w:t xml:space="preserve"> Databases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Discover and explore Nature’s Scientific Data datasets with the ISA-explorer tool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Gonzalez-Beltran</w:t>
            </w:r>
            <w:proofErr w:type="spellEnd"/>
            <w:r w:rsidRPr="007C76B6">
              <w:rPr>
                <w:sz w:val="24"/>
                <w:szCs w:val="24"/>
              </w:rPr>
              <w:t xml:space="preserve"> A, Maguire E, </w:t>
            </w:r>
            <w:proofErr w:type="spellStart"/>
            <w:r w:rsidRPr="007C76B6">
              <w:rPr>
                <w:sz w:val="24"/>
                <w:szCs w:val="24"/>
              </w:rPr>
              <w:t>Khodiyar</w:t>
            </w:r>
            <w:proofErr w:type="spellEnd"/>
            <w:r w:rsidRPr="007C76B6">
              <w:rPr>
                <w:sz w:val="24"/>
                <w:szCs w:val="24"/>
              </w:rPr>
              <w:t xml:space="preserve"> V, Rocca-Serra P, Johnson D, Izzo M, </w:t>
            </w:r>
            <w:proofErr w:type="spellStart"/>
            <w:r w:rsidRPr="007C76B6">
              <w:rPr>
                <w:sz w:val="24"/>
                <w:szCs w:val="24"/>
              </w:rPr>
              <w:t>Hufton</w:t>
            </w:r>
            <w:proofErr w:type="spellEnd"/>
            <w:r w:rsidRPr="007C76B6">
              <w:rPr>
                <w:sz w:val="24"/>
                <w:szCs w:val="24"/>
              </w:rPr>
              <w:t xml:space="preserve"> A, Sansone SA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P28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Biological</w:t>
            </w:r>
            <w:proofErr w:type="spellEnd"/>
            <w:r w:rsidRPr="007C76B6">
              <w:rPr>
                <w:sz w:val="24"/>
                <w:szCs w:val="24"/>
              </w:rPr>
              <w:t xml:space="preserve"> Databases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UCbase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Version 3.0: "The first database of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Ultraconserved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sequences".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Taccioli</w:t>
            </w:r>
            <w:proofErr w:type="spellEnd"/>
            <w:r w:rsidRPr="007C76B6">
              <w:rPr>
                <w:sz w:val="24"/>
                <w:szCs w:val="24"/>
              </w:rPr>
              <w:t xml:space="preserve"> C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P29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Biological</w:t>
            </w:r>
            <w:proofErr w:type="spellEnd"/>
            <w:r w:rsidRPr="007C76B6">
              <w:rPr>
                <w:sz w:val="24"/>
                <w:szCs w:val="24"/>
              </w:rPr>
              <w:t xml:space="preserve"> Databases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Diet analysis by next-generation sequencing of the critically endangered Italian hare (Lepus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corsicanus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Buglione M, Trapanese M, Maselli V, </w:t>
            </w:r>
            <w:proofErr w:type="spellStart"/>
            <w:r w:rsidRPr="007C76B6">
              <w:rPr>
                <w:sz w:val="24"/>
                <w:szCs w:val="24"/>
              </w:rPr>
              <w:t>Aiese</w:t>
            </w:r>
            <w:proofErr w:type="spellEnd"/>
            <w:r w:rsidRPr="007C76B6">
              <w:rPr>
                <w:sz w:val="24"/>
                <w:szCs w:val="24"/>
              </w:rPr>
              <w:t xml:space="preserve"> Cigliano R, Sanseverino W, Marchese G, </w:t>
            </w:r>
            <w:proofErr w:type="spellStart"/>
            <w:r w:rsidRPr="007C76B6">
              <w:rPr>
                <w:sz w:val="24"/>
                <w:szCs w:val="24"/>
              </w:rPr>
              <w:t>Ravo</w:t>
            </w:r>
            <w:proofErr w:type="spellEnd"/>
            <w:r w:rsidRPr="007C76B6">
              <w:rPr>
                <w:sz w:val="24"/>
                <w:szCs w:val="24"/>
              </w:rPr>
              <w:t xml:space="preserve"> M and Fulgione D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P30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Biological</w:t>
            </w:r>
            <w:proofErr w:type="spellEnd"/>
            <w:r w:rsidRPr="007C76B6">
              <w:rPr>
                <w:sz w:val="24"/>
                <w:szCs w:val="24"/>
              </w:rPr>
              <w:t xml:space="preserve"> Databases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MitImpact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2.0, a database of pre-computed pathogenicity predictions for mitochondrial missense mutations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Castellana S, Fusilli C, </w:t>
            </w:r>
            <w:proofErr w:type="spellStart"/>
            <w:r w:rsidRPr="007C76B6">
              <w:rPr>
                <w:sz w:val="24"/>
                <w:szCs w:val="24"/>
              </w:rPr>
              <w:t>Biagini</w:t>
            </w:r>
            <w:proofErr w:type="spellEnd"/>
            <w:r w:rsidRPr="007C76B6">
              <w:rPr>
                <w:sz w:val="24"/>
                <w:szCs w:val="24"/>
              </w:rPr>
              <w:t xml:space="preserve"> T, </w:t>
            </w:r>
            <w:proofErr w:type="spellStart"/>
            <w:r w:rsidRPr="007C76B6">
              <w:rPr>
                <w:sz w:val="24"/>
                <w:szCs w:val="24"/>
              </w:rPr>
              <w:t>Capocefalo</w:t>
            </w:r>
            <w:proofErr w:type="spellEnd"/>
            <w:r w:rsidRPr="007C76B6">
              <w:rPr>
                <w:sz w:val="24"/>
                <w:szCs w:val="24"/>
              </w:rPr>
              <w:t xml:space="preserve"> D, Vescovi AL, Mazza T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P31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Biological</w:t>
            </w:r>
            <w:proofErr w:type="spellEnd"/>
            <w:r w:rsidRPr="007C76B6">
              <w:rPr>
                <w:sz w:val="24"/>
                <w:szCs w:val="24"/>
              </w:rPr>
              <w:t xml:space="preserve"> Databases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BioGraphDB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>: a graph database based on integration of publicly available bioinformatics resources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Fiannaca</w:t>
            </w:r>
            <w:proofErr w:type="spellEnd"/>
            <w:r w:rsidRPr="007C76B6">
              <w:rPr>
                <w:sz w:val="24"/>
                <w:szCs w:val="24"/>
              </w:rPr>
              <w:t xml:space="preserve"> A, La Rosa M, La Paglia L, Messina A, Rizzo R, Urso A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P32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Biological</w:t>
            </w:r>
            <w:proofErr w:type="spellEnd"/>
            <w:r w:rsidRPr="007C76B6">
              <w:rPr>
                <w:sz w:val="24"/>
                <w:szCs w:val="24"/>
              </w:rPr>
              <w:t xml:space="preserve"> Databases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Recent developments of the Cell Line Integrated Molecular Authentication Database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>Romano P, Visconti P, Parodi B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P33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Clinical bioinformatics: from computational models to clinical answers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Towards an integrated interactive database for the search of stratification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biomarkes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Alkaptonuria</w:t>
            </w:r>
            <w:proofErr w:type="spellEnd"/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Cicaloni V, Rossi A, </w:t>
            </w:r>
            <w:proofErr w:type="spellStart"/>
            <w:r w:rsidRPr="007C76B6">
              <w:rPr>
                <w:sz w:val="24"/>
                <w:szCs w:val="24"/>
              </w:rPr>
              <w:t>Zazzeri</w:t>
            </w:r>
            <w:proofErr w:type="spellEnd"/>
            <w:r w:rsidRPr="007C76B6">
              <w:rPr>
                <w:sz w:val="24"/>
                <w:szCs w:val="24"/>
              </w:rPr>
              <w:t xml:space="preserve"> M, </w:t>
            </w:r>
            <w:proofErr w:type="spellStart"/>
            <w:r w:rsidRPr="007C76B6">
              <w:rPr>
                <w:sz w:val="24"/>
                <w:szCs w:val="24"/>
              </w:rPr>
              <w:t>Zugarini</w:t>
            </w:r>
            <w:proofErr w:type="spellEnd"/>
            <w:r w:rsidRPr="007C76B6">
              <w:rPr>
                <w:sz w:val="24"/>
                <w:szCs w:val="24"/>
              </w:rPr>
              <w:t xml:space="preserve"> A, Santucci A, Bernini A, Spiga O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P34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Clinical bioinformatics: from computational models to clinical answers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Detection of kinase gene fusion events: a therapeutic opportunity in cancer treatment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Bosotti</w:t>
            </w:r>
            <w:proofErr w:type="spellEnd"/>
            <w:r w:rsidRPr="007C76B6">
              <w:rPr>
                <w:sz w:val="24"/>
                <w:szCs w:val="24"/>
              </w:rPr>
              <w:t xml:space="preserve"> R, </w:t>
            </w:r>
            <w:proofErr w:type="spellStart"/>
            <w:r w:rsidRPr="007C76B6">
              <w:rPr>
                <w:sz w:val="24"/>
                <w:szCs w:val="24"/>
              </w:rPr>
              <w:t>Ardini</w:t>
            </w:r>
            <w:proofErr w:type="spellEnd"/>
            <w:r w:rsidRPr="007C76B6">
              <w:rPr>
                <w:sz w:val="24"/>
                <w:szCs w:val="24"/>
              </w:rPr>
              <w:t xml:space="preserve"> E, Galvani A, </w:t>
            </w:r>
            <w:proofErr w:type="spellStart"/>
            <w:r w:rsidRPr="007C76B6">
              <w:rPr>
                <w:sz w:val="24"/>
                <w:szCs w:val="24"/>
              </w:rPr>
              <w:t>Isacchi</w:t>
            </w:r>
            <w:proofErr w:type="spellEnd"/>
            <w:r w:rsidRPr="007C76B6">
              <w:rPr>
                <w:sz w:val="24"/>
                <w:szCs w:val="24"/>
              </w:rPr>
              <w:t xml:space="preserve"> A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P35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Clinical bioinformatics: from computational models to clinical answers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A framework to identify new biomarkers of response to chemotherapy in patients with high-risk neuroblastoma 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Cangelosi</w:t>
            </w:r>
            <w:proofErr w:type="spellEnd"/>
            <w:r w:rsidRPr="007C76B6">
              <w:rPr>
                <w:sz w:val="24"/>
                <w:szCs w:val="24"/>
              </w:rPr>
              <w:t xml:space="preserve"> D, Morini M, </w:t>
            </w:r>
            <w:proofErr w:type="spellStart"/>
            <w:r w:rsidRPr="007C76B6">
              <w:rPr>
                <w:sz w:val="24"/>
                <w:szCs w:val="24"/>
              </w:rPr>
              <w:t>Luksch</w:t>
            </w:r>
            <w:proofErr w:type="spellEnd"/>
            <w:r w:rsidRPr="007C76B6">
              <w:rPr>
                <w:sz w:val="24"/>
                <w:szCs w:val="24"/>
              </w:rPr>
              <w:t xml:space="preserve"> R, Sementa AR, Conte M, </w:t>
            </w:r>
            <w:proofErr w:type="spellStart"/>
            <w:r w:rsidRPr="007C76B6">
              <w:rPr>
                <w:sz w:val="24"/>
                <w:szCs w:val="24"/>
              </w:rPr>
              <w:t>Garaventa</w:t>
            </w:r>
            <w:proofErr w:type="spellEnd"/>
            <w:r w:rsidRPr="007C76B6">
              <w:rPr>
                <w:sz w:val="24"/>
                <w:szCs w:val="24"/>
              </w:rPr>
              <w:t xml:space="preserve"> A, Luigi </w:t>
            </w:r>
            <w:proofErr w:type="spellStart"/>
            <w:r w:rsidRPr="007C76B6">
              <w:rPr>
                <w:sz w:val="24"/>
                <w:szCs w:val="24"/>
              </w:rPr>
              <w:t>Varesio</w:t>
            </w:r>
            <w:proofErr w:type="spellEnd"/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lastRenderedPageBreak/>
              <w:t>P36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Clinical bioinformatics: from computational models to clinical answers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Autism and intestinal permeability: bioinformatics selection of candidate genes target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Chiappori</w:t>
            </w:r>
            <w:proofErr w:type="spellEnd"/>
            <w:r w:rsidRPr="007C76B6">
              <w:rPr>
                <w:sz w:val="24"/>
                <w:szCs w:val="24"/>
              </w:rPr>
              <w:t xml:space="preserve"> F, Gnocchi M, Milanesi L, </w:t>
            </w:r>
            <w:proofErr w:type="spellStart"/>
            <w:r w:rsidRPr="007C76B6">
              <w:rPr>
                <w:sz w:val="24"/>
                <w:szCs w:val="24"/>
              </w:rPr>
              <w:t>Mezzelani</w:t>
            </w:r>
            <w:proofErr w:type="spellEnd"/>
            <w:r w:rsidRPr="007C76B6">
              <w:rPr>
                <w:sz w:val="24"/>
                <w:szCs w:val="24"/>
              </w:rPr>
              <w:t xml:space="preserve"> A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P37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Comparative </w:t>
            </w:r>
            <w:proofErr w:type="spellStart"/>
            <w:r w:rsidRPr="007C76B6">
              <w:rPr>
                <w:sz w:val="24"/>
                <w:szCs w:val="24"/>
              </w:rPr>
              <w:t>Genomics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A dominant role of mitotic recombination in shaping interspecies genome introgression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D’Angiolo M, De Chiara M, </w:t>
            </w:r>
            <w:proofErr w:type="spellStart"/>
            <w:r w:rsidRPr="007C76B6">
              <w:rPr>
                <w:sz w:val="24"/>
                <w:szCs w:val="24"/>
              </w:rPr>
              <w:t>Yue</w:t>
            </w:r>
            <w:proofErr w:type="spellEnd"/>
            <w:r w:rsidRPr="007C76B6">
              <w:rPr>
                <w:sz w:val="24"/>
                <w:szCs w:val="24"/>
              </w:rPr>
              <w:t xml:space="preserve"> J, </w:t>
            </w:r>
            <w:proofErr w:type="spellStart"/>
            <w:r w:rsidRPr="007C76B6">
              <w:rPr>
                <w:sz w:val="24"/>
                <w:szCs w:val="24"/>
              </w:rPr>
              <w:t>Llored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Irizar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Lutazi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Barrè</w:t>
            </w:r>
            <w:proofErr w:type="spellEnd"/>
            <w:r w:rsidRPr="007C76B6">
              <w:rPr>
                <w:sz w:val="24"/>
                <w:szCs w:val="24"/>
              </w:rPr>
              <w:t xml:space="preserve"> B, Marangoni R, Nicolas A, Gianni Liti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P38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Comparative </w:t>
            </w:r>
            <w:proofErr w:type="spellStart"/>
            <w:r w:rsidRPr="007C76B6">
              <w:rPr>
                <w:sz w:val="24"/>
                <w:szCs w:val="24"/>
              </w:rPr>
              <w:t>Genomics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OrthoDB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: genome annotation and interpretation through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orthology</w:t>
            </w:r>
            <w:proofErr w:type="spellEnd"/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Kriventseva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EV,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Tegenfeldt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F,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D, Ioannidis P,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Manni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M, 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Simão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FA, Waterhouse RM,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Zdobnov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EM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P39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Epigenetics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A computational approach for functional classification of the epigenome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Gandolfi</w:t>
            </w:r>
            <w:proofErr w:type="spellEnd"/>
            <w:r w:rsidRPr="007C76B6">
              <w:rPr>
                <w:sz w:val="24"/>
                <w:szCs w:val="24"/>
              </w:rPr>
              <w:t xml:space="preserve"> F, Tramontano A</w:t>
            </w:r>
          </w:p>
        </w:tc>
      </w:tr>
      <w:tr w:rsidR="007C76B6" w:rsidRPr="007C76B6" w:rsidTr="00F7637C">
        <w:trPr>
          <w:cantSplit/>
          <w:trHeight w:val="67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P40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Epigenetics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ampliMethProfiler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: a pipeline for the analysis of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CpG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methylation profiles of amplicons from targeted bisulfite deep sequencing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Scala G, </w:t>
            </w:r>
            <w:proofErr w:type="spellStart"/>
            <w:r w:rsidRPr="007C76B6">
              <w:rPr>
                <w:sz w:val="24"/>
                <w:szCs w:val="24"/>
              </w:rPr>
              <w:t>Affinito</w:t>
            </w:r>
            <w:proofErr w:type="spellEnd"/>
            <w:r w:rsidRPr="007C76B6">
              <w:rPr>
                <w:sz w:val="24"/>
                <w:szCs w:val="24"/>
              </w:rPr>
              <w:t xml:space="preserve"> O, Palumbo D, Florio E, Monticelli A, Miele G, </w:t>
            </w:r>
            <w:proofErr w:type="spellStart"/>
            <w:r w:rsidRPr="007C76B6">
              <w:rPr>
                <w:sz w:val="24"/>
                <w:szCs w:val="24"/>
              </w:rPr>
              <w:t>Cocozza</w:t>
            </w:r>
            <w:proofErr w:type="spellEnd"/>
            <w:r w:rsidRPr="007C76B6">
              <w:rPr>
                <w:sz w:val="24"/>
                <w:szCs w:val="24"/>
              </w:rPr>
              <w:t xml:space="preserve"> S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P41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Genomics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Strategies to reduce genome complexity in vegetable crops.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Terracciano</w:t>
            </w:r>
            <w:proofErr w:type="spellEnd"/>
            <w:r w:rsidRPr="007C76B6">
              <w:rPr>
                <w:sz w:val="24"/>
                <w:szCs w:val="24"/>
              </w:rPr>
              <w:t xml:space="preserve"> I, Taranto F, Caiazzo R, Cantarella C, Tripodi P, D’Agostino N.</w:t>
            </w:r>
          </w:p>
        </w:tc>
      </w:tr>
      <w:tr w:rsidR="007C76B6" w:rsidRPr="007C76B6" w:rsidTr="00F7637C">
        <w:trPr>
          <w:cantSplit/>
          <w:trHeight w:val="67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P42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Genomics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Reverse engineering methods to support the identification of long non coding RNA functions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>Noviello TMR, Ventola GM, D’Aniello S, Spagnuolo A, Ceccarelli M, Cerulo L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P43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Genomics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A multi-omics approach to characterize and identify candidate miRNA targets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Sangiovanni</w:t>
            </w:r>
            <w:proofErr w:type="spellEnd"/>
            <w:r w:rsidRPr="007C76B6">
              <w:rPr>
                <w:sz w:val="24"/>
                <w:szCs w:val="24"/>
              </w:rPr>
              <w:t xml:space="preserve"> M, Granata I, </w:t>
            </w:r>
            <w:proofErr w:type="spellStart"/>
            <w:r w:rsidRPr="007C76B6">
              <w:rPr>
                <w:sz w:val="24"/>
                <w:szCs w:val="24"/>
              </w:rPr>
              <w:t>Guarracino</w:t>
            </w:r>
            <w:proofErr w:type="spellEnd"/>
            <w:r w:rsidRPr="007C76B6">
              <w:rPr>
                <w:sz w:val="24"/>
                <w:szCs w:val="24"/>
              </w:rPr>
              <w:t xml:space="preserve"> MR</w:t>
            </w:r>
          </w:p>
        </w:tc>
      </w:tr>
      <w:tr w:rsidR="007C76B6" w:rsidRPr="007C76B6" w:rsidTr="00F7637C">
        <w:trPr>
          <w:cantSplit/>
          <w:trHeight w:val="67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lastRenderedPageBreak/>
              <w:t>P44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Genomics</w:t>
            </w:r>
            <w:proofErr w:type="spellEnd"/>
            <w:r w:rsidRPr="007C76B6">
              <w:rPr>
                <w:sz w:val="24"/>
                <w:szCs w:val="24"/>
              </w:rPr>
              <w:t xml:space="preserve"> of </w:t>
            </w:r>
            <w:proofErr w:type="spellStart"/>
            <w:r w:rsidRPr="007C76B6">
              <w:rPr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Phylogenetic characterization of an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Orthopoxvirus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isolate from a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Macaca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tonkeana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colony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Gruber CEM, </w:t>
            </w:r>
            <w:proofErr w:type="spellStart"/>
            <w:r w:rsidRPr="007C76B6">
              <w:rPr>
                <w:sz w:val="24"/>
                <w:szCs w:val="24"/>
              </w:rPr>
              <w:t>Giombini</w:t>
            </w:r>
            <w:proofErr w:type="spellEnd"/>
            <w:r w:rsidRPr="007C76B6">
              <w:rPr>
                <w:sz w:val="24"/>
                <w:szCs w:val="24"/>
              </w:rPr>
              <w:t xml:space="preserve"> E, Selleri M, </w:t>
            </w:r>
            <w:proofErr w:type="spellStart"/>
            <w:r w:rsidRPr="007C76B6">
              <w:rPr>
                <w:sz w:val="24"/>
                <w:szCs w:val="24"/>
              </w:rPr>
              <w:t>Castilletti</w:t>
            </w:r>
            <w:proofErr w:type="spellEnd"/>
            <w:r w:rsidRPr="007C76B6">
              <w:rPr>
                <w:sz w:val="24"/>
                <w:szCs w:val="24"/>
              </w:rPr>
              <w:t xml:space="preserve"> C, Carletti F, </w:t>
            </w:r>
            <w:proofErr w:type="spellStart"/>
            <w:r w:rsidRPr="007C76B6">
              <w:rPr>
                <w:sz w:val="24"/>
                <w:szCs w:val="24"/>
              </w:rPr>
              <w:t>Lapa</w:t>
            </w:r>
            <w:proofErr w:type="spellEnd"/>
            <w:r w:rsidRPr="007C76B6">
              <w:rPr>
                <w:sz w:val="24"/>
                <w:szCs w:val="24"/>
              </w:rPr>
              <w:t xml:space="preserve"> D, Puro V,  Di Caro A, Desideri A, De Marco L, Manna G, Zini M, Lorenzetti R, Cardeti G, </w:t>
            </w:r>
            <w:proofErr w:type="spellStart"/>
            <w:r w:rsidRPr="007C76B6">
              <w:rPr>
                <w:sz w:val="24"/>
                <w:szCs w:val="24"/>
              </w:rPr>
              <w:t>Autorino</w:t>
            </w:r>
            <w:proofErr w:type="spellEnd"/>
            <w:r w:rsidRPr="007C76B6">
              <w:rPr>
                <w:sz w:val="24"/>
                <w:szCs w:val="24"/>
              </w:rPr>
              <w:t xml:space="preserve"> GL, </w:t>
            </w:r>
            <w:proofErr w:type="spellStart"/>
            <w:r w:rsidRPr="007C76B6">
              <w:rPr>
                <w:sz w:val="24"/>
                <w:szCs w:val="24"/>
              </w:rPr>
              <w:t>Capobianchi</w:t>
            </w:r>
            <w:proofErr w:type="spellEnd"/>
            <w:r w:rsidRPr="007C76B6">
              <w:rPr>
                <w:sz w:val="24"/>
                <w:szCs w:val="24"/>
              </w:rPr>
              <w:t xml:space="preserve"> MR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P45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Genomics</w:t>
            </w:r>
            <w:proofErr w:type="spellEnd"/>
            <w:r w:rsidRPr="007C76B6">
              <w:rPr>
                <w:sz w:val="24"/>
                <w:szCs w:val="24"/>
              </w:rPr>
              <w:t xml:space="preserve"> of </w:t>
            </w:r>
            <w:proofErr w:type="spellStart"/>
            <w:r w:rsidRPr="007C76B6">
              <w:rPr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Unraveling the long non coding RNAs regulation in acute myeloid leukemia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Percio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S,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Pattini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L</w:t>
            </w:r>
          </w:p>
        </w:tc>
      </w:tr>
      <w:tr w:rsidR="007C76B6" w:rsidRPr="007C76B6" w:rsidTr="00F7637C">
        <w:trPr>
          <w:cantSplit/>
          <w:trHeight w:val="90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C76B6">
              <w:rPr>
                <w:b/>
                <w:bCs/>
                <w:sz w:val="24"/>
                <w:szCs w:val="24"/>
                <w:lang w:val="en-US"/>
              </w:rPr>
              <w:t>P46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Genomics of Disease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Exome and deep sequencing of clinically aggressive neuroblastoma reveal pathway-level implications in somatically mutated genes involved in cancer progression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Lasorsa</w:t>
            </w:r>
            <w:proofErr w:type="spellEnd"/>
            <w:r w:rsidRPr="007C76B6">
              <w:rPr>
                <w:sz w:val="24"/>
                <w:szCs w:val="24"/>
              </w:rPr>
              <w:t xml:space="preserve"> VA, Formicola D, Pignataro P, </w:t>
            </w:r>
            <w:proofErr w:type="spellStart"/>
            <w:r w:rsidRPr="007C76B6">
              <w:rPr>
                <w:sz w:val="24"/>
                <w:szCs w:val="24"/>
              </w:rPr>
              <w:t>Cimmino</w:t>
            </w:r>
            <w:proofErr w:type="spellEnd"/>
            <w:r w:rsidRPr="007C76B6">
              <w:rPr>
                <w:sz w:val="24"/>
                <w:szCs w:val="24"/>
              </w:rPr>
              <w:t xml:space="preserve"> F, Calabrese FM, Mora J, Esposito MR, </w:t>
            </w:r>
            <w:proofErr w:type="spellStart"/>
            <w:r w:rsidRPr="007C76B6">
              <w:rPr>
                <w:sz w:val="24"/>
                <w:szCs w:val="24"/>
              </w:rPr>
              <w:t>Pantile</w:t>
            </w:r>
            <w:proofErr w:type="spellEnd"/>
            <w:r w:rsidRPr="007C76B6">
              <w:rPr>
                <w:sz w:val="24"/>
                <w:szCs w:val="24"/>
              </w:rPr>
              <w:t xml:space="preserve"> M, Zanon C, De Mariano M, Longo L, </w:t>
            </w:r>
            <w:proofErr w:type="spellStart"/>
            <w:r w:rsidRPr="007C76B6">
              <w:rPr>
                <w:sz w:val="24"/>
                <w:szCs w:val="24"/>
              </w:rPr>
              <w:t>Hogarty</w:t>
            </w:r>
            <w:proofErr w:type="spellEnd"/>
            <w:r w:rsidRPr="007C76B6">
              <w:rPr>
                <w:sz w:val="24"/>
                <w:szCs w:val="24"/>
              </w:rPr>
              <w:t xml:space="preserve"> MD, de Torres C, Tonini GP, </w:t>
            </w:r>
            <w:proofErr w:type="spellStart"/>
            <w:r w:rsidRPr="007C76B6">
              <w:rPr>
                <w:sz w:val="24"/>
                <w:szCs w:val="24"/>
              </w:rPr>
              <w:t>Iolascon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Capasso</w:t>
            </w:r>
            <w:proofErr w:type="spellEnd"/>
            <w:r w:rsidRPr="007C76B6">
              <w:rPr>
                <w:sz w:val="24"/>
                <w:szCs w:val="24"/>
              </w:rPr>
              <w:t xml:space="preserve"> M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P47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JRC GMO-Scanner: a fast-screening tool of NGS reads from whole genome sequencing of GMOs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Petrillo M, Angers-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Loustau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Henriksson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P,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Patak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A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P48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The Integrated Variant Calling System: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IVaCS</w:t>
            </w:r>
            <w:proofErr w:type="spellEnd"/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Castrignanò</w:t>
            </w:r>
            <w:proofErr w:type="spellEnd"/>
            <w:r w:rsidRPr="007C76B6">
              <w:rPr>
                <w:sz w:val="24"/>
                <w:szCs w:val="24"/>
              </w:rPr>
              <w:t xml:space="preserve"> T, Chiara M, Chillemi G, D'Antonio M, Pesole G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P49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HPC bioinformatics resources for Elixir scientific community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Castrignanò</w:t>
            </w:r>
            <w:proofErr w:type="spellEnd"/>
            <w:r w:rsidRPr="007C76B6">
              <w:rPr>
                <w:sz w:val="24"/>
                <w:szCs w:val="24"/>
              </w:rPr>
              <w:t xml:space="preserve"> T, D'Antonio M, D'Onorio De Meo P, Flati T, Chillemi G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P50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Computational analysis for the quantitative profiling of initiating ribosomes in primary human CD4+ TH1 cells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Alfieri R, Ricciardi S, Manfrini N, </w:t>
            </w:r>
            <w:proofErr w:type="spellStart"/>
            <w:r w:rsidRPr="007C76B6">
              <w:rPr>
                <w:sz w:val="24"/>
                <w:szCs w:val="24"/>
              </w:rPr>
              <w:t>Gruarin</w:t>
            </w:r>
            <w:proofErr w:type="spellEnd"/>
            <w:r w:rsidRPr="007C76B6">
              <w:rPr>
                <w:sz w:val="24"/>
                <w:szCs w:val="24"/>
              </w:rPr>
              <w:t xml:space="preserve"> P, Pagani M, </w:t>
            </w:r>
            <w:proofErr w:type="spellStart"/>
            <w:r w:rsidRPr="007C76B6">
              <w:rPr>
                <w:sz w:val="24"/>
                <w:szCs w:val="24"/>
              </w:rPr>
              <w:t>Ingolia</w:t>
            </w:r>
            <w:proofErr w:type="spellEnd"/>
            <w:r w:rsidRPr="007C76B6">
              <w:rPr>
                <w:sz w:val="24"/>
                <w:szCs w:val="24"/>
              </w:rPr>
              <w:t xml:space="preserve"> NT, Biffo S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lastRenderedPageBreak/>
              <w:t>P51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A Tool for the Comparison of Transcript Differential Expression Analysis Pipelines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Beretta S, </w:t>
            </w:r>
            <w:proofErr w:type="spellStart"/>
            <w:r w:rsidRPr="007C76B6">
              <w:rPr>
                <w:sz w:val="24"/>
                <w:szCs w:val="24"/>
              </w:rPr>
              <w:t>Pirola</w:t>
            </w:r>
            <w:proofErr w:type="spellEnd"/>
            <w:r w:rsidRPr="007C76B6">
              <w:rPr>
                <w:sz w:val="24"/>
                <w:szCs w:val="24"/>
              </w:rPr>
              <w:t xml:space="preserve"> Y, </w:t>
            </w:r>
            <w:proofErr w:type="spellStart"/>
            <w:r w:rsidRPr="007C76B6">
              <w:rPr>
                <w:sz w:val="24"/>
                <w:szCs w:val="24"/>
              </w:rPr>
              <w:t>Ranzani</w:t>
            </w:r>
            <w:proofErr w:type="spellEnd"/>
            <w:r w:rsidRPr="007C76B6">
              <w:rPr>
                <w:sz w:val="24"/>
                <w:szCs w:val="24"/>
              </w:rPr>
              <w:t xml:space="preserve"> V, Rossetti G, </w:t>
            </w:r>
            <w:proofErr w:type="spellStart"/>
            <w:r w:rsidRPr="007C76B6">
              <w:rPr>
                <w:sz w:val="24"/>
                <w:szCs w:val="24"/>
              </w:rPr>
              <w:t>Bonnal</w:t>
            </w:r>
            <w:proofErr w:type="spellEnd"/>
            <w:r w:rsidRPr="007C76B6">
              <w:rPr>
                <w:sz w:val="24"/>
                <w:szCs w:val="24"/>
              </w:rPr>
              <w:t xml:space="preserve"> R, Rizzi R, Della Vedova G, Pagani M, </w:t>
            </w:r>
            <w:proofErr w:type="spellStart"/>
            <w:r w:rsidRPr="007C76B6">
              <w:rPr>
                <w:sz w:val="24"/>
                <w:szCs w:val="24"/>
              </w:rPr>
              <w:t>Bonizzoni</w:t>
            </w:r>
            <w:proofErr w:type="spellEnd"/>
            <w:r w:rsidRPr="007C76B6">
              <w:rPr>
                <w:sz w:val="24"/>
                <w:szCs w:val="24"/>
              </w:rPr>
              <w:t xml:space="preserve"> P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P52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MetaShot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>: a complete pipeline for the taxonomic classification of the human microbiome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Fosso B, Santamaria M, Lovero D, Corrado G, Vizza E, </w:t>
            </w:r>
            <w:proofErr w:type="spellStart"/>
            <w:r w:rsidRPr="007C76B6">
              <w:rPr>
                <w:sz w:val="24"/>
                <w:szCs w:val="24"/>
              </w:rPr>
              <w:t>Passaro</w:t>
            </w:r>
            <w:proofErr w:type="spellEnd"/>
            <w:r w:rsidRPr="007C76B6">
              <w:rPr>
                <w:sz w:val="24"/>
                <w:szCs w:val="24"/>
              </w:rPr>
              <w:t xml:space="preserve"> N,  </w:t>
            </w:r>
            <w:proofErr w:type="spellStart"/>
            <w:r w:rsidRPr="007C76B6">
              <w:rPr>
                <w:sz w:val="24"/>
                <w:szCs w:val="24"/>
              </w:rPr>
              <w:t>Crescenzi</w:t>
            </w:r>
            <w:proofErr w:type="spellEnd"/>
            <w:r w:rsidRPr="007C76B6">
              <w:rPr>
                <w:sz w:val="24"/>
                <w:szCs w:val="24"/>
              </w:rPr>
              <w:t xml:space="preserve"> M, Pesole G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P53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RNAseq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data analysis of cell cycle S phase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Giacò</w:t>
            </w:r>
            <w:proofErr w:type="spellEnd"/>
            <w:r w:rsidRPr="007C76B6">
              <w:rPr>
                <w:sz w:val="24"/>
                <w:szCs w:val="24"/>
              </w:rPr>
              <w:t xml:space="preserve"> L, </w:t>
            </w:r>
            <w:proofErr w:type="spellStart"/>
            <w:r w:rsidRPr="007C76B6">
              <w:rPr>
                <w:sz w:val="24"/>
                <w:szCs w:val="24"/>
              </w:rPr>
              <w:t>Cittaro</w:t>
            </w:r>
            <w:proofErr w:type="spellEnd"/>
            <w:r w:rsidRPr="007C76B6">
              <w:rPr>
                <w:sz w:val="24"/>
                <w:szCs w:val="24"/>
              </w:rPr>
              <w:t xml:space="preserve"> D, Luzi L, Pelicci PG, </w:t>
            </w:r>
            <w:proofErr w:type="spellStart"/>
            <w:r w:rsidRPr="007C76B6">
              <w:rPr>
                <w:sz w:val="24"/>
                <w:szCs w:val="24"/>
              </w:rPr>
              <w:t>Dellino</w:t>
            </w:r>
            <w:proofErr w:type="spellEnd"/>
            <w:r w:rsidRPr="007C76B6">
              <w:rPr>
                <w:sz w:val="24"/>
                <w:szCs w:val="24"/>
              </w:rPr>
              <w:t xml:space="preserve"> GI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P54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Optimization of a pipeline for small RNA-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seq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data analysis 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Panero</w:t>
            </w:r>
            <w:proofErr w:type="spellEnd"/>
            <w:r w:rsidRPr="007C76B6">
              <w:rPr>
                <w:sz w:val="24"/>
                <w:szCs w:val="24"/>
              </w:rPr>
              <w:t xml:space="preserve"> R, Rinaldi A, </w:t>
            </w:r>
            <w:proofErr w:type="spellStart"/>
            <w:r w:rsidRPr="007C76B6">
              <w:rPr>
                <w:sz w:val="24"/>
                <w:szCs w:val="24"/>
              </w:rPr>
              <w:t>Memoli</w:t>
            </w:r>
            <w:proofErr w:type="spellEnd"/>
            <w:r w:rsidRPr="007C76B6">
              <w:rPr>
                <w:sz w:val="24"/>
                <w:szCs w:val="24"/>
              </w:rPr>
              <w:t xml:space="preserve"> D, </w:t>
            </w:r>
            <w:proofErr w:type="spellStart"/>
            <w:r w:rsidRPr="007C76B6">
              <w:rPr>
                <w:sz w:val="24"/>
                <w:szCs w:val="24"/>
              </w:rPr>
              <w:t>Alexandrova</w:t>
            </w:r>
            <w:proofErr w:type="spellEnd"/>
            <w:r w:rsidRPr="007C76B6">
              <w:rPr>
                <w:sz w:val="24"/>
                <w:szCs w:val="24"/>
              </w:rPr>
              <w:t xml:space="preserve"> E, </w:t>
            </w:r>
            <w:proofErr w:type="spellStart"/>
            <w:r w:rsidRPr="007C76B6">
              <w:rPr>
                <w:sz w:val="24"/>
                <w:szCs w:val="24"/>
              </w:rPr>
              <w:t>Ravo</w:t>
            </w:r>
            <w:proofErr w:type="spellEnd"/>
            <w:r w:rsidRPr="007C76B6">
              <w:rPr>
                <w:sz w:val="24"/>
                <w:szCs w:val="24"/>
              </w:rPr>
              <w:t xml:space="preserve"> M, </w:t>
            </w:r>
            <w:proofErr w:type="spellStart"/>
            <w:r w:rsidRPr="007C76B6">
              <w:rPr>
                <w:sz w:val="24"/>
                <w:szCs w:val="24"/>
              </w:rPr>
              <w:t>Weisz</w:t>
            </w:r>
            <w:proofErr w:type="spellEnd"/>
            <w:r w:rsidRPr="007C76B6">
              <w:rPr>
                <w:sz w:val="24"/>
                <w:szCs w:val="24"/>
              </w:rPr>
              <w:t xml:space="preserve"> A, Giurato G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P55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A-GAME: A Galaxy suite for Applied Metagenomics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Chiara M, Placido A, </w:t>
            </w:r>
            <w:proofErr w:type="spellStart"/>
            <w:r w:rsidRPr="007C76B6">
              <w:rPr>
                <w:sz w:val="24"/>
                <w:szCs w:val="24"/>
              </w:rPr>
              <w:t>Picardi</w:t>
            </w:r>
            <w:proofErr w:type="spellEnd"/>
            <w:r w:rsidRPr="007C76B6">
              <w:rPr>
                <w:sz w:val="24"/>
                <w:szCs w:val="24"/>
              </w:rPr>
              <w:t xml:space="preserve"> E, Ceci L, </w:t>
            </w:r>
            <w:proofErr w:type="spellStart"/>
            <w:r w:rsidRPr="007C76B6">
              <w:rPr>
                <w:sz w:val="24"/>
                <w:szCs w:val="24"/>
              </w:rPr>
              <w:t>Horner</w:t>
            </w:r>
            <w:proofErr w:type="spellEnd"/>
            <w:r w:rsidRPr="007C76B6">
              <w:rPr>
                <w:sz w:val="24"/>
                <w:szCs w:val="24"/>
              </w:rPr>
              <w:t xml:space="preserve"> DS, Pesole G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P56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IntegrHO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, a novel tool to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analyse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and integrate NGS data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Righelli D, </w:t>
            </w:r>
            <w:proofErr w:type="spellStart"/>
            <w:r w:rsidRPr="007C76B6">
              <w:rPr>
                <w:sz w:val="24"/>
                <w:szCs w:val="24"/>
              </w:rPr>
              <w:t>Franzese</w:t>
            </w:r>
            <w:proofErr w:type="spellEnd"/>
            <w:r w:rsidRPr="007C76B6">
              <w:rPr>
                <w:sz w:val="24"/>
                <w:szCs w:val="24"/>
              </w:rPr>
              <w:t xml:space="preserve"> M, Angelini C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P57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Small noncoding RNA expression analysis suggests involvement of PIWI-interacting RNAs in human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hepatocarcinogenesis</w:t>
            </w:r>
            <w:proofErr w:type="spellEnd"/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Rinaldi A, Giurato G, Coviello E, </w:t>
            </w:r>
            <w:proofErr w:type="spellStart"/>
            <w:r w:rsidRPr="007C76B6">
              <w:rPr>
                <w:sz w:val="24"/>
                <w:szCs w:val="24"/>
              </w:rPr>
              <w:t>Sellitto</w:t>
            </w:r>
            <w:proofErr w:type="spellEnd"/>
            <w:r w:rsidRPr="007C76B6">
              <w:rPr>
                <w:sz w:val="24"/>
                <w:szCs w:val="24"/>
              </w:rPr>
              <w:t xml:space="preserve"> A, Di Tommaso L, Roncalli M, </w:t>
            </w:r>
            <w:proofErr w:type="spellStart"/>
            <w:r w:rsidRPr="007C76B6">
              <w:rPr>
                <w:sz w:val="24"/>
                <w:szCs w:val="24"/>
              </w:rPr>
              <w:t>Weisz</w:t>
            </w:r>
            <w:proofErr w:type="spellEnd"/>
            <w:r w:rsidRPr="007C76B6">
              <w:rPr>
                <w:sz w:val="24"/>
                <w:szCs w:val="24"/>
              </w:rPr>
              <w:t xml:space="preserve"> A, Rizzo F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P58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Characterization of functional role of the Estrogen Receptor Beta -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Argonaute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2 complex in breast cancer cells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Giurato G, Bruno G, Nassa G, Ricciardi L, </w:t>
            </w:r>
            <w:proofErr w:type="spellStart"/>
            <w:r w:rsidRPr="007C76B6">
              <w:rPr>
                <w:sz w:val="24"/>
                <w:szCs w:val="24"/>
              </w:rPr>
              <w:t>Saggese</w:t>
            </w:r>
            <w:proofErr w:type="spellEnd"/>
            <w:r w:rsidRPr="007C76B6">
              <w:rPr>
                <w:sz w:val="24"/>
                <w:szCs w:val="24"/>
              </w:rPr>
              <w:t xml:space="preserve"> P, Salvati A, </w:t>
            </w:r>
            <w:proofErr w:type="spellStart"/>
            <w:r w:rsidRPr="007C76B6">
              <w:rPr>
                <w:sz w:val="24"/>
                <w:szCs w:val="24"/>
              </w:rPr>
              <w:t>Weisz</w:t>
            </w:r>
            <w:proofErr w:type="spellEnd"/>
            <w:r w:rsidRPr="007C76B6">
              <w:rPr>
                <w:sz w:val="24"/>
                <w:szCs w:val="24"/>
              </w:rPr>
              <w:t xml:space="preserve"> A, Tarallo R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P59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Next</w:t>
            </w:r>
            <w:proofErr w:type="spellEnd"/>
            <w:r w:rsidRPr="007C76B6">
              <w:rPr>
                <w:sz w:val="24"/>
                <w:szCs w:val="24"/>
              </w:rPr>
              <w:t xml:space="preserve"> Generation </w:t>
            </w:r>
            <w:proofErr w:type="spellStart"/>
            <w:r w:rsidRPr="007C76B6">
              <w:rPr>
                <w:sz w:val="24"/>
                <w:szCs w:val="24"/>
              </w:rPr>
              <w:t>Sequencing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Integration of RRBS,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smallRNA-Seq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and RNA-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Seq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data for biological interpretation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Memoli</w:t>
            </w:r>
            <w:proofErr w:type="spellEnd"/>
            <w:r w:rsidRPr="007C76B6">
              <w:rPr>
                <w:sz w:val="24"/>
                <w:szCs w:val="24"/>
              </w:rPr>
              <w:t xml:space="preserve"> D, Giurato G, Nassa G, Salvati A, Rizzo F, </w:t>
            </w:r>
            <w:proofErr w:type="spellStart"/>
            <w:r w:rsidRPr="007C76B6">
              <w:rPr>
                <w:sz w:val="24"/>
                <w:szCs w:val="24"/>
              </w:rPr>
              <w:t>Weisz</w:t>
            </w:r>
            <w:proofErr w:type="spellEnd"/>
            <w:r w:rsidRPr="007C76B6">
              <w:rPr>
                <w:sz w:val="24"/>
                <w:szCs w:val="24"/>
              </w:rPr>
              <w:t xml:space="preserve"> A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P60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Structural states of a RNA aptamer, molecular dynamics simulation study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Autiero</w:t>
            </w:r>
            <w:proofErr w:type="spellEnd"/>
            <w:r w:rsidRPr="007C76B6">
              <w:rPr>
                <w:sz w:val="24"/>
                <w:szCs w:val="24"/>
              </w:rPr>
              <w:t xml:space="preserve"> I, Vitagliano L, </w:t>
            </w:r>
            <w:proofErr w:type="spellStart"/>
            <w:r w:rsidRPr="007C76B6">
              <w:rPr>
                <w:sz w:val="24"/>
                <w:szCs w:val="24"/>
              </w:rPr>
              <w:t>Improta</w:t>
            </w:r>
            <w:proofErr w:type="spellEnd"/>
            <w:r w:rsidRPr="007C76B6">
              <w:rPr>
                <w:sz w:val="24"/>
                <w:szCs w:val="24"/>
              </w:rPr>
              <w:t xml:space="preserve"> R, Ruvo M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lastRenderedPageBreak/>
              <w:t>P61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Microbial Transglutaminases investigations for selecting putative forms of industrial interest.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Giordano D, </w:t>
            </w:r>
            <w:proofErr w:type="spellStart"/>
            <w:r w:rsidRPr="007C76B6">
              <w:rPr>
                <w:sz w:val="24"/>
                <w:szCs w:val="24"/>
              </w:rPr>
              <w:t>Facchiano</w:t>
            </w:r>
            <w:proofErr w:type="spellEnd"/>
            <w:r w:rsidRPr="007C76B6">
              <w:rPr>
                <w:sz w:val="24"/>
                <w:szCs w:val="24"/>
              </w:rPr>
              <w:t xml:space="preserve"> A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P62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Identication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of “on-off residues”  in rat Cav1.2 </w:t>
            </w:r>
            <w:r w:rsidRPr="007C76B6">
              <w:rPr>
                <w:rFonts w:ascii="Symbol" w:hAnsi="Symbol"/>
                <w:sz w:val="24"/>
                <w:szCs w:val="24"/>
                <w:lang w:val="en-US"/>
              </w:rPr>
              <w:t></w:t>
            </w:r>
            <w:r w:rsidRPr="007C76B6">
              <w:rPr>
                <w:sz w:val="24"/>
                <w:szCs w:val="24"/>
                <w:lang w:val="en-US"/>
              </w:rPr>
              <w:t>1C subunit channel using in silico analysis and docking simulation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>Trezza A, Bernini A, Spiga O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P63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Ligand docking to decipher functional specificity of paralogous enzymes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Cammisa</w:t>
            </w:r>
            <w:proofErr w:type="spellEnd"/>
            <w:r w:rsidRPr="007C76B6">
              <w:rPr>
                <w:sz w:val="24"/>
                <w:szCs w:val="24"/>
              </w:rPr>
              <w:t xml:space="preserve"> M, Viscido G, </w:t>
            </w:r>
            <w:proofErr w:type="spellStart"/>
            <w:r w:rsidRPr="007C76B6">
              <w:rPr>
                <w:sz w:val="24"/>
                <w:szCs w:val="24"/>
              </w:rPr>
              <w:t>Cimmaruta</w:t>
            </w:r>
            <w:proofErr w:type="spellEnd"/>
            <w:r w:rsidRPr="007C76B6">
              <w:rPr>
                <w:sz w:val="24"/>
                <w:szCs w:val="24"/>
              </w:rPr>
              <w:t xml:space="preserve"> C, </w:t>
            </w:r>
            <w:proofErr w:type="spellStart"/>
            <w:r w:rsidRPr="007C76B6">
              <w:rPr>
                <w:sz w:val="24"/>
                <w:szCs w:val="24"/>
              </w:rPr>
              <w:t>Citro</w:t>
            </w:r>
            <w:proofErr w:type="spellEnd"/>
            <w:r w:rsidRPr="007C76B6">
              <w:rPr>
                <w:sz w:val="24"/>
                <w:szCs w:val="24"/>
              </w:rPr>
              <w:t xml:space="preserve"> V, Monza E, </w:t>
            </w:r>
            <w:proofErr w:type="spellStart"/>
            <w:r w:rsidRPr="007C76B6">
              <w:rPr>
                <w:sz w:val="24"/>
                <w:szCs w:val="24"/>
              </w:rPr>
              <w:t>Guallar</w:t>
            </w:r>
            <w:proofErr w:type="spellEnd"/>
            <w:r w:rsidRPr="007C76B6">
              <w:rPr>
                <w:sz w:val="24"/>
                <w:szCs w:val="24"/>
              </w:rPr>
              <w:t xml:space="preserve"> V, Andreotti G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P64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Detecting of structural features characterizing intrinsically disordered protein domains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>Guariniello S, Colonna G, Ciliberto G, Costantini S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P65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Conformational Factors Modulating UV-induced DNA Damage: Insights from Molecular Dynamics Studies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Esposito L, </w:t>
            </w:r>
            <w:proofErr w:type="spellStart"/>
            <w:r w:rsidRPr="007C76B6">
              <w:rPr>
                <w:sz w:val="24"/>
                <w:szCs w:val="24"/>
              </w:rPr>
              <w:t>Improta</w:t>
            </w:r>
            <w:proofErr w:type="spellEnd"/>
            <w:r w:rsidRPr="007C76B6">
              <w:rPr>
                <w:sz w:val="24"/>
                <w:szCs w:val="24"/>
              </w:rPr>
              <w:t xml:space="preserve"> R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P66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A computational study to identify potential inhibitors for human chymase from natural and/or biogenic sources 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Dubey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Marabotti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Ramteke</w:t>
            </w:r>
            <w:proofErr w:type="spellEnd"/>
            <w:r w:rsidRPr="007C76B6">
              <w:rPr>
                <w:sz w:val="24"/>
                <w:szCs w:val="24"/>
              </w:rPr>
              <w:t xml:space="preserve"> PW, </w:t>
            </w:r>
            <w:proofErr w:type="spellStart"/>
            <w:r w:rsidRPr="007C76B6">
              <w:rPr>
                <w:sz w:val="24"/>
                <w:szCs w:val="24"/>
              </w:rPr>
              <w:t>Facchiano</w:t>
            </w:r>
            <w:proofErr w:type="spellEnd"/>
            <w:r w:rsidRPr="007C76B6">
              <w:rPr>
                <w:sz w:val="24"/>
                <w:szCs w:val="24"/>
              </w:rPr>
              <w:t xml:space="preserve"> A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P67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Analysis of the interactions of a novel cephalosporin derivative with their potential targets penicillin-binding proteins from different sources using a covalent docking approach 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Verdino A, De Rosa M, </w:t>
            </w:r>
            <w:proofErr w:type="spellStart"/>
            <w:r w:rsidRPr="007C76B6">
              <w:rPr>
                <w:sz w:val="24"/>
                <w:szCs w:val="24"/>
              </w:rPr>
              <w:t>Soriente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Marabotti</w:t>
            </w:r>
            <w:proofErr w:type="spellEnd"/>
            <w:r w:rsidRPr="007C76B6">
              <w:rPr>
                <w:sz w:val="24"/>
                <w:szCs w:val="24"/>
              </w:rPr>
              <w:t xml:space="preserve"> A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P68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Investigating the opening mechanism of topoisomerase I B in complex  with DNA investigated by means of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metadynamics</w:t>
            </w:r>
            <w:proofErr w:type="spellEnd"/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>Morozzo della Rocca B, Coletta A, Iacovelli F, Desideri A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P69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NMR structure ensembles of protein-protein complexes: analysis of the interface variability and selection of a representative conformer 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Calvanese</w:t>
            </w:r>
            <w:proofErr w:type="spellEnd"/>
            <w:r w:rsidRPr="007C76B6">
              <w:rPr>
                <w:sz w:val="24"/>
                <w:szCs w:val="24"/>
              </w:rPr>
              <w:t xml:space="preserve"> L, D'Auria G, </w:t>
            </w:r>
            <w:proofErr w:type="spellStart"/>
            <w:r w:rsidRPr="007C76B6">
              <w:rPr>
                <w:sz w:val="24"/>
                <w:szCs w:val="24"/>
              </w:rPr>
              <w:t>Vangone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Falcigno</w:t>
            </w:r>
            <w:proofErr w:type="spellEnd"/>
            <w:r w:rsidRPr="007C76B6">
              <w:rPr>
                <w:sz w:val="24"/>
                <w:szCs w:val="24"/>
              </w:rPr>
              <w:t xml:space="preserve"> L, Oliva R 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P70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A preliminary clustering step in a consensus approach for the scoring of protein-protein docking models enhances the chance to have a correct solution within the top ten ranked positions 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Chermak</w:t>
            </w:r>
            <w:proofErr w:type="spellEnd"/>
            <w:r w:rsidRPr="007C76B6">
              <w:rPr>
                <w:sz w:val="24"/>
                <w:szCs w:val="24"/>
              </w:rPr>
              <w:t xml:space="preserve"> E, De Donato R, </w:t>
            </w:r>
            <w:proofErr w:type="spellStart"/>
            <w:r w:rsidRPr="007C76B6">
              <w:rPr>
                <w:sz w:val="24"/>
                <w:szCs w:val="24"/>
              </w:rPr>
              <w:t>Lensink</w:t>
            </w:r>
            <w:proofErr w:type="spellEnd"/>
            <w:r w:rsidRPr="007C76B6">
              <w:rPr>
                <w:sz w:val="24"/>
                <w:szCs w:val="24"/>
              </w:rPr>
              <w:t xml:space="preserve"> M, </w:t>
            </w:r>
            <w:proofErr w:type="spellStart"/>
            <w:r w:rsidRPr="007C76B6">
              <w:rPr>
                <w:sz w:val="24"/>
                <w:szCs w:val="24"/>
              </w:rPr>
              <w:t>Petta</w:t>
            </w:r>
            <w:proofErr w:type="spellEnd"/>
            <w:r w:rsidRPr="007C76B6">
              <w:rPr>
                <w:sz w:val="24"/>
                <w:szCs w:val="24"/>
              </w:rPr>
              <w:t xml:space="preserve"> A, Serra L, </w:t>
            </w:r>
            <w:proofErr w:type="spellStart"/>
            <w:r w:rsidRPr="007C76B6">
              <w:rPr>
                <w:sz w:val="24"/>
                <w:szCs w:val="24"/>
              </w:rPr>
              <w:t>Scarano</w:t>
            </w:r>
            <w:proofErr w:type="spellEnd"/>
            <w:r w:rsidRPr="007C76B6">
              <w:rPr>
                <w:sz w:val="24"/>
                <w:szCs w:val="24"/>
              </w:rPr>
              <w:t xml:space="preserve"> V, Cavallo L, Oliva R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lastRenderedPageBreak/>
              <w:t>P71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PyMod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3.0: an integrated platform for protein sequence-structure analysis and homology modeling within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PyMOL</w:t>
            </w:r>
            <w:proofErr w:type="spellEnd"/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Janson</w:t>
            </w:r>
            <w:proofErr w:type="spellEnd"/>
            <w:r w:rsidRPr="007C76B6">
              <w:rPr>
                <w:sz w:val="24"/>
                <w:szCs w:val="24"/>
              </w:rPr>
              <w:t xml:space="preserve"> G, Zhang C, </w:t>
            </w:r>
            <w:proofErr w:type="spellStart"/>
            <w:r w:rsidRPr="007C76B6">
              <w:rPr>
                <w:sz w:val="24"/>
                <w:szCs w:val="24"/>
              </w:rPr>
              <w:t>Paiardini</w:t>
            </w:r>
            <w:proofErr w:type="spellEnd"/>
            <w:r w:rsidRPr="007C76B6">
              <w:rPr>
                <w:sz w:val="24"/>
                <w:szCs w:val="24"/>
              </w:rPr>
              <w:t xml:space="preserve"> A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P72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Structure prediction of ordered domains of Huntingtin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Brandi V, </w:t>
            </w:r>
            <w:proofErr w:type="spellStart"/>
            <w:r w:rsidRPr="007C76B6">
              <w:rPr>
                <w:sz w:val="24"/>
                <w:szCs w:val="24"/>
              </w:rPr>
              <w:t>Polticelli</w:t>
            </w:r>
            <w:proofErr w:type="spellEnd"/>
            <w:r w:rsidRPr="007C76B6">
              <w:rPr>
                <w:sz w:val="24"/>
                <w:szCs w:val="24"/>
              </w:rPr>
              <w:t xml:space="preserve"> F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P73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Structural models of the human iron exporter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ferroportin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in the inward- and outward-open states 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Tortosa V, </w:t>
            </w:r>
            <w:proofErr w:type="spellStart"/>
            <w:r w:rsidRPr="007C76B6">
              <w:rPr>
                <w:sz w:val="24"/>
                <w:szCs w:val="24"/>
              </w:rPr>
              <w:t>Polticelli</w:t>
            </w:r>
            <w:proofErr w:type="spellEnd"/>
            <w:r w:rsidRPr="007C76B6">
              <w:rPr>
                <w:sz w:val="24"/>
                <w:szCs w:val="24"/>
              </w:rPr>
              <w:t xml:space="preserve"> F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P74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Receptor flexibility in molecular cross-docking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>Sessa L, Di Biasi L, Parisi R, Concilio S, Piotto S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P75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PRODIGY: a binding affinity prediction server for protein-protein complexes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Vangone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Xue</w:t>
            </w:r>
            <w:proofErr w:type="spellEnd"/>
            <w:r w:rsidRPr="007C76B6">
              <w:rPr>
                <w:sz w:val="24"/>
                <w:szCs w:val="24"/>
              </w:rPr>
              <w:t xml:space="preserve"> CL, </w:t>
            </w:r>
            <w:proofErr w:type="spellStart"/>
            <w:r w:rsidRPr="007C76B6">
              <w:rPr>
                <w:sz w:val="24"/>
                <w:szCs w:val="24"/>
              </w:rPr>
              <w:t>Rodrigues</w:t>
            </w:r>
            <w:proofErr w:type="spellEnd"/>
            <w:r w:rsidRPr="007C76B6">
              <w:rPr>
                <w:sz w:val="24"/>
                <w:szCs w:val="24"/>
              </w:rPr>
              <w:t xml:space="preserve"> JPGLM, </w:t>
            </w:r>
            <w:proofErr w:type="spellStart"/>
            <w:r w:rsidRPr="007C76B6">
              <w:rPr>
                <w:sz w:val="24"/>
                <w:szCs w:val="24"/>
              </w:rPr>
              <w:t>Kastritis</w:t>
            </w:r>
            <w:proofErr w:type="spellEnd"/>
            <w:r w:rsidRPr="007C76B6">
              <w:rPr>
                <w:sz w:val="24"/>
                <w:szCs w:val="24"/>
              </w:rPr>
              <w:t xml:space="preserve"> PL, </w:t>
            </w:r>
            <w:proofErr w:type="spellStart"/>
            <w:r w:rsidRPr="007C76B6">
              <w:rPr>
                <w:sz w:val="24"/>
                <w:szCs w:val="24"/>
              </w:rPr>
              <w:t>Bonvin</w:t>
            </w:r>
            <w:proofErr w:type="spellEnd"/>
            <w:r w:rsidRPr="007C76B6">
              <w:rPr>
                <w:sz w:val="24"/>
                <w:szCs w:val="24"/>
              </w:rPr>
              <w:t xml:space="preserve"> AMJJ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P76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Protein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structure</w:t>
            </w:r>
            <w:proofErr w:type="spellEnd"/>
            <w:r w:rsidRPr="007C76B6">
              <w:rPr>
                <w:sz w:val="24"/>
                <w:szCs w:val="24"/>
              </w:rPr>
              <w:t xml:space="preserve"> and </w:t>
            </w:r>
            <w:proofErr w:type="spellStart"/>
            <w:r w:rsidRPr="007C76B6">
              <w:rPr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Loop size optimization: a new mechanism for protein stabilization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Ruggiero A, </w:t>
            </w:r>
            <w:proofErr w:type="spellStart"/>
            <w:r w:rsidRPr="007C76B6">
              <w:rPr>
                <w:sz w:val="24"/>
                <w:szCs w:val="24"/>
              </w:rPr>
              <w:t>Balasco</w:t>
            </w:r>
            <w:proofErr w:type="spellEnd"/>
            <w:r w:rsidRPr="007C76B6">
              <w:rPr>
                <w:sz w:val="24"/>
                <w:szCs w:val="24"/>
              </w:rPr>
              <w:t xml:space="preserve"> N, Esposito L,  Vitagliano L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P77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Proteomics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A workflow to integrate pre-processing, analysis and comparison of MALDI-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ToF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mass spectra in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GeenaR</w:t>
            </w:r>
            <w:proofErr w:type="spellEnd"/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Del Prete E, </w:t>
            </w:r>
            <w:proofErr w:type="spellStart"/>
            <w:r w:rsidRPr="007C76B6">
              <w:rPr>
                <w:sz w:val="24"/>
                <w:szCs w:val="24"/>
              </w:rPr>
              <w:t>Facchiano</w:t>
            </w:r>
            <w:proofErr w:type="spellEnd"/>
            <w:r w:rsidRPr="007C76B6">
              <w:rPr>
                <w:sz w:val="24"/>
                <w:szCs w:val="24"/>
              </w:rPr>
              <w:t xml:space="preserve"> A, Profumo A, Angelini C, Romano P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P78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Proteomics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SKI: modeling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kinome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-peptides interactions with deep neural networks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Ariano B, </w:t>
            </w:r>
            <w:proofErr w:type="spellStart"/>
            <w:r w:rsidRPr="007C76B6">
              <w:rPr>
                <w:sz w:val="24"/>
                <w:szCs w:val="24"/>
              </w:rPr>
              <w:t>Palmeri</w:t>
            </w:r>
            <w:proofErr w:type="spellEnd"/>
            <w:r w:rsidRPr="007C76B6">
              <w:rPr>
                <w:sz w:val="24"/>
                <w:szCs w:val="24"/>
              </w:rPr>
              <w:t xml:space="preserve"> A, </w:t>
            </w:r>
            <w:proofErr w:type="spellStart"/>
            <w:r w:rsidRPr="007C76B6">
              <w:rPr>
                <w:sz w:val="24"/>
                <w:szCs w:val="24"/>
              </w:rPr>
              <w:t>Helmer</w:t>
            </w:r>
            <w:proofErr w:type="spellEnd"/>
            <w:r w:rsidRPr="007C76B6">
              <w:rPr>
                <w:sz w:val="24"/>
                <w:szCs w:val="24"/>
              </w:rPr>
              <w:t xml:space="preserve"> </w:t>
            </w:r>
            <w:proofErr w:type="spellStart"/>
            <w:r w:rsidRPr="007C76B6">
              <w:rPr>
                <w:sz w:val="24"/>
                <w:szCs w:val="24"/>
              </w:rPr>
              <w:t>Citterich</w:t>
            </w:r>
            <w:proofErr w:type="spellEnd"/>
            <w:r w:rsidRPr="007C76B6">
              <w:rPr>
                <w:sz w:val="24"/>
                <w:szCs w:val="24"/>
              </w:rPr>
              <w:t xml:space="preserve"> M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P79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Systems </w:t>
            </w:r>
            <w:proofErr w:type="spellStart"/>
            <w:r w:rsidRPr="007C76B6">
              <w:rPr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Protein/lipid interaction networks of Detergent Resistant Membranes in Plasmodium falciparum infected erythrocytes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>Sferra G, Fratini F, Birago C, Sansone A, Di Biase A, Ferreri C, Ponzi M, Pizzi E</w:t>
            </w:r>
          </w:p>
        </w:tc>
      </w:tr>
      <w:tr w:rsidR="007C76B6" w:rsidRPr="007C76B6" w:rsidTr="00F7637C">
        <w:trPr>
          <w:cantSplit/>
          <w:trHeight w:val="67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P80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Systems </w:t>
            </w:r>
            <w:proofErr w:type="spellStart"/>
            <w:r w:rsidRPr="007C76B6">
              <w:rPr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Natural compounds as potential PI3K-AKT1 signaling pathway inhibitors by means of pharmacophore modeling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Dotolo</w:t>
            </w:r>
            <w:proofErr w:type="spellEnd"/>
            <w:r w:rsidRPr="007C76B6">
              <w:rPr>
                <w:sz w:val="24"/>
                <w:szCs w:val="24"/>
              </w:rPr>
              <w:t xml:space="preserve"> S, Gaeta A, </w:t>
            </w:r>
            <w:proofErr w:type="spellStart"/>
            <w:r w:rsidRPr="007C76B6">
              <w:rPr>
                <w:sz w:val="24"/>
                <w:szCs w:val="24"/>
              </w:rPr>
              <w:t>Facchiano</w:t>
            </w:r>
            <w:proofErr w:type="spellEnd"/>
            <w:r w:rsidRPr="007C76B6">
              <w:rPr>
                <w:sz w:val="24"/>
                <w:szCs w:val="24"/>
              </w:rPr>
              <w:t xml:space="preserve"> A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P81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Systems </w:t>
            </w:r>
            <w:proofErr w:type="spellStart"/>
            <w:r w:rsidRPr="007C76B6">
              <w:rPr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Detecting critical nodes in the analysis of cancer integrative networks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Ferrero G, Beccuti M, Balbo G, </w:t>
            </w:r>
            <w:proofErr w:type="spellStart"/>
            <w:r w:rsidRPr="007C76B6">
              <w:rPr>
                <w:sz w:val="24"/>
                <w:szCs w:val="24"/>
              </w:rPr>
              <w:t>Hosteins</w:t>
            </w:r>
            <w:proofErr w:type="spellEnd"/>
            <w:r w:rsidRPr="007C76B6">
              <w:rPr>
                <w:sz w:val="24"/>
                <w:szCs w:val="24"/>
              </w:rPr>
              <w:t xml:space="preserve"> P, Cordero F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C76B6">
              <w:rPr>
                <w:b/>
                <w:bCs/>
                <w:sz w:val="24"/>
                <w:szCs w:val="24"/>
                <w:lang w:val="en-US"/>
              </w:rPr>
              <w:t>P82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Systems Biology</w:t>
            </w:r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Environmental variables, modular Synthetic Biology and Systems Biology: a case study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Mozzachiodi</w:t>
            </w:r>
            <w:proofErr w:type="spellEnd"/>
            <w:r w:rsidRPr="007C76B6">
              <w:rPr>
                <w:sz w:val="24"/>
                <w:szCs w:val="24"/>
              </w:rPr>
              <w:t xml:space="preserve"> S, Cardelli L, Stano P, Altamura E, </w:t>
            </w:r>
            <w:proofErr w:type="spellStart"/>
            <w:r w:rsidRPr="007C76B6">
              <w:rPr>
                <w:sz w:val="24"/>
                <w:szCs w:val="24"/>
              </w:rPr>
              <w:t>Mavelli</w:t>
            </w:r>
            <w:proofErr w:type="spellEnd"/>
            <w:r w:rsidRPr="007C76B6">
              <w:rPr>
                <w:sz w:val="24"/>
                <w:szCs w:val="24"/>
              </w:rPr>
              <w:t xml:space="preserve"> F, Marangoni R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lastRenderedPageBreak/>
              <w:t>P83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Systems </w:t>
            </w:r>
            <w:proofErr w:type="spellStart"/>
            <w:r w:rsidRPr="007C76B6">
              <w:rPr>
                <w:sz w:val="24"/>
                <w:szCs w:val="24"/>
              </w:rPr>
              <w:t>Biology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B6">
              <w:rPr>
                <w:sz w:val="24"/>
                <w:szCs w:val="24"/>
                <w:lang w:val="en-US"/>
              </w:rPr>
              <w:t>HiPPO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and PANDA: two bioinformatics tools to support analysis of high-dimensional mass cytometry data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Pirrò</w:t>
            </w:r>
            <w:proofErr w:type="spellEnd"/>
            <w:r w:rsidRPr="007C76B6">
              <w:rPr>
                <w:sz w:val="24"/>
                <w:szCs w:val="24"/>
              </w:rPr>
              <w:t xml:space="preserve"> S, </w:t>
            </w:r>
            <w:proofErr w:type="spellStart"/>
            <w:r w:rsidRPr="007C76B6">
              <w:rPr>
                <w:sz w:val="24"/>
                <w:szCs w:val="24"/>
              </w:rPr>
              <w:t>Cerquone</w:t>
            </w:r>
            <w:proofErr w:type="spellEnd"/>
            <w:r w:rsidRPr="007C76B6">
              <w:rPr>
                <w:sz w:val="24"/>
                <w:szCs w:val="24"/>
              </w:rPr>
              <w:t xml:space="preserve"> Perpetuini A, </w:t>
            </w:r>
            <w:proofErr w:type="spellStart"/>
            <w:r w:rsidRPr="007C76B6">
              <w:rPr>
                <w:sz w:val="24"/>
                <w:szCs w:val="24"/>
              </w:rPr>
              <w:t>Marinkovic</w:t>
            </w:r>
            <w:proofErr w:type="spellEnd"/>
            <w:r w:rsidRPr="007C76B6">
              <w:rPr>
                <w:sz w:val="24"/>
                <w:szCs w:val="24"/>
              </w:rPr>
              <w:t xml:space="preserve"> M, Perfetto L, </w:t>
            </w:r>
            <w:proofErr w:type="spellStart"/>
            <w:r w:rsidRPr="007C76B6">
              <w:rPr>
                <w:sz w:val="24"/>
                <w:szCs w:val="24"/>
              </w:rPr>
              <w:t>Petrilli</w:t>
            </w:r>
            <w:proofErr w:type="spellEnd"/>
            <w:r w:rsidRPr="007C76B6">
              <w:rPr>
                <w:sz w:val="24"/>
                <w:szCs w:val="24"/>
              </w:rPr>
              <w:t xml:space="preserve"> LL, Reggio A, Rosina M, Spada F, Castagnoli L, </w:t>
            </w:r>
            <w:proofErr w:type="spellStart"/>
            <w:r w:rsidRPr="007C76B6">
              <w:rPr>
                <w:sz w:val="24"/>
                <w:szCs w:val="24"/>
              </w:rPr>
              <w:t>Cesareni</w:t>
            </w:r>
            <w:proofErr w:type="spellEnd"/>
            <w:r w:rsidRPr="007C76B6">
              <w:rPr>
                <w:sz w:val="24"/>
                <w:szCs w:val="24"/>
              </w:rPr>
              <w:t xml:space="preserve"> G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P84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Transcriptomics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Plant microRNAs and human cancer cell proliferation: a beneficial cross-kingdom interaction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Marzano F, </w:t>
            </w:r>
            <w:proofErr w:type="spellStart"/>
            <w:r w:rsidRPr="007C76B6">
              <w:rPr>
                <w:sz w:val="24"/>
                <w:szCs w:val="24"/>
              </w:rPr>
              <w:t>Caratozzolo</w:t>
            </w:r>
            <w:proofErr w:type="spellEnd"/>
            <w:r w:rsidRPr="007C76B6">
              <w:rPr>
                <w:sz w:val="24"/>
                <w:szCs w:val="24"/>
              </w:rPr>
              <w:t xml:space="preserve"> M,  </w:t>
            </w:r>
            <w:proofErr w:type="spellStart"/>
            <w:r w:rsidRPr="007C76B6">
              <w:rPr>
                <w:sz w:val="24"/>
                <w:szCs w:val="24"/>
              </w:rPr>
              <w:t>Liuni</w:t>
            </w:r>
            <w:proofErr w:type="spellEnd"/>
            <w:r w:rsidRPr="007C76B6">
              <w:rPr>
                <w:sz w:val="24"/>
                <w:szCs w:val="24"/>
              </w:rPr>
              <w:t xml:space="preserve"> S, </w:t>
            </w:r>
            <w:proofErr w:type="spellStart"/>
            <w:r w:rsidRPr="007C76B6">
              <w:rPr>
                <w:sz w:val="24"/>
                <w:szCs w:val="24"/>
              </w:rPr>
              <w:t>Sbisà</w:t>
            </w:r>
            <w:proofErr w:type="spellEnd"/>
            <w:r w:rsidRPr="007C76B6">
              <w:rPr>
                <w:sz w:val="24"/>
                <w:szCs w:val="24"/>
              </w:rPr>
              <w:t xml:space="preserve"> E, Consiglio A, </w:t>
            </w:r>
            <w:proofErr w:type="spellStart"/>
            <w:r w:rsidRPr="007C76B6">
              <w:rPr>
                <w:sz w:val="24"/>
                <w:szCs w:val="24"/>
              </w:rPr>
              <w:t>Licciulli</w:t>
            </w:r>
            <w:proofErr w:type="spellEnd"/>
            <w:r w:rsidRPr="007C76B6">
              <w:rPr>
                <w:sz w:val="24"/>
                <w:szCs w:val="24"/>
              </w:rPr>
              <w:t>, D’Elia D, Tullo  A, Catalano D</w:t>
            </w:r>
          </w:p>
        </w:tc>
      </w:tr>
      <w:tr w:rsidR="007C76B6" w:rsidRPr="007C76B6" w:rsidTr="00F7637C">
        <w:trPr>
          <w:cantSplit/>
          <w:trHeight w:val="315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P85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Transcriptomics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>Base-Ribose stacking in Functional RNAs: Context Analysis and Energetic Characterization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Chawla</w:t>
            </w:r>
            <w:proofErr w:type="spellEnd"/>
            <w:r w:rsidRPr="007C76B6">
              <w:rPr>
                <w:sz w:val="24"/>
                <w:szCs w:val="24"/>
              </w:rPr>
              <w:t xml:space="preserve"> M, </w:t>
            </w:r>
            <w:proofErr w:type="spellStart"/>
            <w:r w:rsidRPr="007C76B6">
              <w:rPr>
                <w:sz w:val="24"/>
                <w:szCs w:val="24"/>
              </w:rPr>
              <w:t>Chermak</w:t>
            </w:r>
            <w:proofErr w:type="spellEnd"/>
            <w:r w:rsidRPr="007C76B6">
              <w:rPr>
                <w:sz w:val="24"/>
                <w:szCs w:val="24"/>
              </w:rPr>
              <w:t xml:space="preserve"> E, De Donato R, </w:t>
            </w:r>
            <w:proofErr w:type="spellStart"/>
            <w:r w:rsidRPr="007C76B6">
              <w:rPr>
                <w:sz w:val="24"/>
                <w:szCs w:val="24"/>
              </w:rPr>
              <w:t>Bujnicki</w:t>
            </w:r>
            <w:proofErr w:type="spellEnd"/>
            <w:r w:rsidRPr="007C76B6">
              <w:rPr>
                <w:sz w:val="24"/>
                <w:szCs w:val="24"/>
              </w:rPr>
              <w:t xml:space="preserve"> JM, Oliva R, Cavallo L</w:t>
            </w:r>
          </w:p>
        </w:tc>
      </w:tr>
      <w:tr w:rsidR="007C76B6" w:rsidRPr="007C76B6" w:rsidTr="00F7637C">
        <w:trPr>
          <w:cantSplit/>
          <w:trHeight w:val="450"/>
        </w:trPr>
        <w:tc>
          <w:tcPr>
            <w:tcW w:w="1242" w:type="dxa"/>
            <w:noWrap/>
            <w:hideMark/>
          </w:tcPr>
          <w:p w:rsidR="007C76B6" w:rsidRPr="007C76B6" w:rsidRDefault="007C76B6" w:rsidP="007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6B6">
              <w:rPr>
                <w:b/>
                <w:bCs/>
                <w:sz w:val="24"/>
                <w:szCs w:val="24"/>
              </w:rPr>
              <w:t>P86</w:t>
            </w:r>
          </w:p>
        </w:tc>
        <w:tc>
          <w:tcPr>
            <w:tcW w:w="2127" w:type="dxa"/>
            <w:noWrap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proofErr w:type="spellStart"/>
            <w:r w:rsidRPr="007C76B6">
              <w:rPr>
                <w:sz w:val="24"/>
                <w:szCs w:val="24"/>
              </w:rPr>
              <w:t>Transcriptomics</w:t>
            </w:r>
            <w:proofErr w:type="spellEnd"/>
          </w:p>
        </w:tc>
        <w:tc>
          <w:tcPr>
            <w:tcW w:w="3564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  <w:lang w:val="en-US"/>
              </w:rPr>
            </w:pPr>
            <w:r w:rsidRPr="007C76B6">
              <w:rPr>
                <w:sz w:val="24"/>
                <w:szCs w:val="24"/>
                <w:lang w:val="en-US"/>
              </w:rPr>
              <w:t xml:space="preserve">Species-specific analysis of </w:t>
            </w:r>
            <w:proofErr w:type="spellStart"/>
            <w:r w:rsidRPr="007C76B6">
              <w:rPr>
                <w:sz w:val="24"/>
                <w:szCs w:val="24"/>
                <w:lang w:val="en-US"/>
              </w:rPr>
              <w:t>RNAseq</w:t>
            </w:r>
            <w:proofErr w:type="spellEnd"/>
            <w:r w:rsidRPr="007C76B6">
              <w:rPr>
                <w:sz w:val="24"/>
                <w:szCs w:val="24"/>
                <w:lang w:val="en-US"/>
              </w:rPr>
              <w:t xml:space="preserve"> data from patient-derived xenografts enables systematic exploration of the cancer stromal transcriptome.</w:t>
            </w:r>
          </w:p>
        </w:tc>
        <w:tc>
          <w:tcPr>
            <w:tcW w:w="2145" w:type="dxa"/>
            <w:hideMark/>
          </w:tcPr>
          <w:p w:rsidR="007C76B6" w:rsidRPr="007C76B6" w:rsidRDefault="007C76B6" w:rsidP="007C76B6">
            <w:pPr>
              <w:rPr>
                <w:sz w:val="24"/>
                <w:szCs w:val="24"/>
              </w:rPr>
            </w:pPr>
            <w:r w:rsidRPr="007C76B6">
              <w:rPr>
                <w:sz w:val="24"/>
                <w:szCs w:val="24"/>
              </w:rPr>
              <w:t xml:space="preserve">Isella C, </w:t>
            </w:r>
            <w:proofErr w:type="spellStart"/>
            <w:r w:rsidRPr="007C76B6">
              <w:rPr>
                <w:sz w:val="24"/>
                <w:szCs w:val="24"/>
              </w:rPr>
              <w:t>Bellomo</w:t>
            </w:r>
            <w:proofErr w:type="spellEnd"/>
            <w:r w:rsidRPr="007C76B6">
              <w:rPr>
                <w:sz w:val="24"/>
                <w:szCs w:val="24"/>
              </w:rPr>
              <w:t xml:space="preserve"> SE, Medico E</w:t>
            </w:r>
          </w:p>
        </w:tc>
      </w:tr>
    </w:tbl>
    <w:p w:rsidR="007C76B6" w:rsidRPr="007C76B6" w:rsidRDefault="007C76B6" w:rsidP="007C7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7C76B6" w:rsidRPr="007C76B6" w:rsidRDefault="007C76B6" w:rsidP="007C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7C76B6" w:rsidRPr="007C76B6" w:rsidRDefault="007C76B6" w:rsidP="007C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7C76B6" w:rsidRPr="007C76B6" w:rsidRDefault="007C76B6" w:rsidP="007C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76B6" w:rsidRPr="007C76B6" w:rsidRDefault="007C76B6" w:rsidP="007C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5FFB" w:rsidRDefault="00B35FFB"/>
    <w:sectPr w:rsidR="00B35FFB" w:rsidSect="00395452">
      <w:headerReference w:type="default" r:id="rId5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AA" w:rsidRPr="00972576" w:rsidRDefault="002C1A67" w:rsidP="009725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B6"/>
    <w:rsid w:val="002C1A67"/>
    <w:rsid w:val="007C76B6"/>
    <w:rsid w:val="00B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76B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6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76B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6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2016-05-27T11:14:00Z</dcterms:created>
  <dcterms:modified xsi:type="dcterms:W3CDTF">2016-05-27T11:19:00Z</dcterms:modified>
</cp:coreProperties>
</file>